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D5A6" w14:textId="77777777" w:rsidR="00B9606D" w:rsidRPr="00B9606D" w:rsidRDefault="00F964DB" w:rsidP="00B9606D">
      <w:pPr>
        <w:rPr>
          <w:sz w:val="28"/>
          <w:szCs w:val="24"/>
          <w:lang w:val="en-GB"/>
        </w:rPr>
      </w:pPr>
      <w:bookmarkStart w:id="0" w:name="_GoBack"/>
      <w:r>
        <w:rPr>
          <w:sz w:val="28"/>
          <w:szCs w:val="24"/>
          <w:lang w:val="en-GB"/>
        </w:rPr>
        <w:t>Dwelling a</w:t>
      </w:r>
      <w:r w:rsidR="00B9606D" w:rsidRPr="00B9606D">
        <w:rPr>
          <w:sz w:val="28"/>
          <w:szCs w:val="24"/>
          <w:lang w:val="en-GB"/>
        </w:rPr>
        <w:t xml:space="preserve">t the outskirts of the normal study pace or </w:t>
      </w:r>
      <w:r>
        <w:rPr>
          <w:sz w:val="28"/>
          <w:szCs w:val="24"/>
          <w:lang w:val="en-GB"/>
        </w:rPr>
        <w:t>pursuing</w:t>
      </w:r>
      <w:r w:rsidR="00B9606D" w:rsidRPr="00B9606D">
        <w:rPr>
          <w:sz w:val="28"/>
          <w:szCs w:val="24"/>
          <w:lang w:val="en-GB"/>
        </w:rPr>
        <w:t xml:space="preserve"> an alternate path</w:t>
      </w:r>
      <w:bookmarkEnd w:id="0"/>
    </w:p>
    <w:p w14:paraId="2F66136D" w14:textId="77777777" w:rsidR="00B9606D" w:rsidRPr="00B9606D" w:rsidRDefault="00B9606D" w:rsidP="00B9606D">
      <w:pPr>
        <w:rPr>
          <w:sz w:val="28"/>
          <w:szCs w:val="24"/>
          <w:lang w:val="en-GB"/>
        </w:rPr>
      </w:pPr>
      <w:r>
        <w:rPr>
          <w:sz w:val="28"/>
          <w:szCs w:val="24"/>
          <w:lang w:val="en-GB"/>
        </w:rPr>
        <w:t>– n</w:t>
      </w:r>
      <w:r w:rsidRPr="00B9606D">
        <w:rPr>
          <w:sz w:val="28"/>
          <w:szCs w:val="24"/>
          <w:lang w:val="en-GB"/>
        </w:rPr>
        <w:t xml:space="preserve">arratives of </w:t>
      </w:r>
      <w:r>
        <w:rPr>
          <w:sz w:val="28"/>
          <w:szCs w:val="24"/>
          <w:lang w:val="en-GB"/>
        </w:rPr>
        <w:t>t</w:t>
      </w:r>
      <w:r w:rsidRPr="00B9606D">
        <w:rPr>
          <w:sz w:val="28"/>
          <w:szCs w:val="24"/>
          <w:lang w:val="en-GB"/>
        </w:rPr>
        <w:t>eacher training students who postponed their studies</w:t>
      </w:r>
    </w:p>
    <w:p w14:paraId="7A04196E" w14:textId="77777777" w:rsidR="00B9606D" w:rsidRDefault="00B9606D" w:rsidP="00B9606D">
      <w:pPr>
        <w:rPr>
          <w:szCs w:val="24"/>
          <w:lang w:val="en-GB"/>
        </w:rPr>
      </w:pPr>
    </w:p>
    <w:p w14:paraId="0A509331" w14:textId="77777777" w:rsidR="006363F6" w:rsidRDefault="00B9606D" w:rsidP="00A4041B">
      <w:pPr>
        <w:rPr>
          <w:lang w:val="en-GB"/>
        </w:rPr>
      </w:pPr>
      <w:r w:rsidRPr="00594256">
        <w:rPr>
          <w:rFonts w:eastAsia="Times New Roman"/>
          <w:szCs w:val="20"/>
          <w:lang w:val="en-GB" w:eastAsia="sv-SE"/>
        </w:rPr>
        <w:t>In relation to t</w:t>
      </w:r>
      <w:r w:rsidRPr="00594256">
        <w:rPr>
          <w:lang w:val="en-GB"/>
        </w:rPr>
        <w:t>he ideal visions of successful student trajectories</w:t>
      </w:r>
      <w:r w:rsidR="006363F6">
        <w:rPr>
          <w:lang w:val="en-GB"/>
        </w:rPr>
        <w:t xml:space="preserve"> found in </w:t>
      </w:r>
      <w:r>
        <w:rPr>
          <w:lang w:val="en-GB"/>
        </w:rPr>
        <w:t xml:space="preserve">current </w:t>
      </w:r>
      <w:r w:rsidRPr="00594256">
        <w:rPr>
          <w:lang w:val="en-GB"/>
        </w:rPr>
        <w:t>educational policy and debates, it can be questioned whether the opportunities to access higher education, to be mobile, efficient and successful are the same for all students.</w:t>
      </w:r>
      <w:r>
        <w:rPr>
          <w:lang w:val="en-GB"/>
        </w:rPr>
        <w:t xml:space="preserve"> </w:t>
      </w:r>
      <w:r w:rsidR="00F964DB">
        <w:rPr>
          <w:rFonts w:eastAsia="Times New Roman"/>
          <w:szCs w:val="20"/>
          <w:lang w:val="en-GB" w:eastAsia="sv-SE"/>
        </w:rPr>
        <w:t>The student has to</w:t>
      </w:r>
      <w:r w:rsidRPr="00594256">
        <w:rPr>
          <w:rFonts w:eastAsia="Times New Roman"/>
          <w:szCs w:val="20"/>
          <w:lang w:val="en-GB" w:eastAsia="sv-SE"/>
        </w:rPr>
        <w:t xml:space="preserve"> </w:t>
      </w:r>
      <w:r w:rsidR="00F964DB">
        <w:rPr>
          <w:szCs w:val="24"/>
          <w:lang w:val="en-GB"/>
        </w:rPr>
        <w:t>move</w:t>
      </w:r>
      <w:r w:rsidRPr="00594256">
        <w:rPr>
          <w:szCs w:val="24"/>
          <w:lang w:val="en-GB"/>
        </w:rPr>
        <w:t xml:space="preserve"> in and out of financial systems (labour market, student finance) as well as managing time, deadlines, keeping up, and the timing of important events</w:t>
      </w:r>
      <w:r w:rsidRPr="00594256">
        <w:rPr>
          <w:rFonts w:eastAsia="Times New Roman"/>
          <w:szCs w:val="20"/>
          <w:lang w:val="en-GB" w:eastAsia="sv-SE"/>
        </w:rPr>
        <w:t xml:space="preserve"> during</w:t>
      </w:r>
      <w:r w:rsidR="00F964DB">
        <w:rPr>
          <w:rFonts w:eastAsia="Times New Roman"/>
          <w:szCs w:val="20"/>
          <w:lang w:val="en-GB" w:eastAsia="sv-SE"/>
        </w:rPr>
        <w:t xml:space="preserve"> one’s educational career.</w:t>
      </w:r>
      <w:r>
        <w:rPr>
          <w:rFonts w:eastAsia="Times New Roman"/>
          <w:szCs w:val="20"/>
          <w:lang w:val="en-GB" w:eastAsia="sv-SE"/>
        </w:rPr>
        <w:t xml:space="preserve"> </w:t>
      </w:r>
      <w:r w:rsidR="00F964DB">
        <w:rPr>
          <w:szCs w:val="20"/>
          <w:lang w:val="en-GB" w:eastAsia="sv-SE"/>
        </w:rPr>
        <w:t>Lately, t</w:t>
      </w:r>
      <w:r w:rsidRPr="00594256">
        <w:rPr>
          <w:szCs w:val="20"/>
          <w:lang w:val="en-GB" w:eastAsia="sv-SE"/>
        </w:rPr>
        <w:t>here has been an increased political focus on student enrolment, efficiency and completion in higher educatio</w:t>
      </w:r>
      <w:r>
        <w:rPr>
          <w:szCs w:val="20"/>
          <w:lang w:val="en-GB" w:eastAsia="sv-SE"/>
        </w:rPr>
        <w:t>n</w:t>
      </w:r>
      <w:r w:rsidR="00F964DB">
        <w:rPr>
          <w:szCs w:val="20"/>
          <w:lang w:val="en-GB" w:eastAsia="sv-SE"/>
        </w:rPr>
        <w:t>, which increase pressure for HEIs to be more efficient and ensure student success. However, t</w:t>
      </w:r>
      <w:r>
        <w:rPr>
          <w:szCs w:val="20"/>
          <w:lang w:val="en-GB" w:eastAsia="sv-SE"/>
        </w:rPr>
        <w:t xml:space="preserve">his case study focuses on the situation when </w:t>
      </w:r>
      <w:r>
        <w:rPr>
          <w:lang w:val="en-GB"/>
        </w:rPr>
        <w:t xml:space="preserve">students (for a range of different reasons) do not follow the normal study pace in the courses as the “normal performing” students do. In the administrative HE discourse the situation is framed as at risk students in relation to dropping out from their studies. Students who do not register for next semester is understood as a dropout in the administrative follow up statistics. But, what kind of existences do the at risk dropouts experience and what are the reasons for not continuing their studies? </w:t>
      </w:r>
      <w:r>
        <w:rPr>
          <w:rFonts w:eastAsia="Times New Roman"/>
          <w:szCs w:val="20"/>
          <w:lang w:val="en-GB" w:eastAsia="sv-SE"/>
        </w:rPr>
        <w:t xml:space="preserve">The current study </w:t>
      </w:r>
      <w:r w:rsidRPr="00F964DB">
        <w:rPr>
          <w:rFonts w:eastAsia="Times New Roman"/>
          <w:i/>
          <w:szCs w:val="20"/>
          <w:lang w:val="en-GB" w:eastAsia="sv-SE"/>
        </w:rPr>
        <w:t>contrasts</w:t>
      </w:r>
      <w:r>
        <w:rPr>
          <w:rFonts w:eastAsia="Times New Roman"/>
          <w:szCs w:val="20"/>
          <w:lang w:val="en-GB" w:eastAsia="sv-SE"/>
        </w:rPr>
        <w:t xml:space="preserve"> the results from an analysis based on administrative HE discourse and different policy discourses</w:t>
      </w:r>
      <w:r w:rsidR="00F964DB">
        <w:rPr>
          <w:rFonts w:eastAsia="Times New Roman"/>
          <w:szCs w:val="20"/>
          <w:lang w:val="en-GB" w:eastAsia="sv-SE"/>
        </w:rPr>
        <w:t>, with</w:t>
      </w:r>
      <w:r>
        <w:rPr>
          <w:rFonts w:eastAsia="Times New Roman"/>
          <w:szCs w:val="20"/>
          <w:lang w:val="en-GB" w:eastAsia="sv-SE"/>
        </w:rPr>
        <w:t xml:space="preserve"> a critical sociological analysis of the lived experienced from 31 at risk dropout students </w:t>
      </w:r>
      <w:r w:rsidRPr="00687167">
        <w:rPr>
          <w:szCs w:val="24"/>
          <w:lang w:val="en-GB"/>
        </w:rPr>
        <w:t>fro</w:t>
      </w:r>
      <w:r>
        <w:rPr>
          <w:szCs w:val="24"/>
          <w:lang w:val="en-GB"/>
        </w:rPr>
        <w:t xml:space="preserve">m the Swedish teacher programme at a Swedish university, (21 female students and 10 male students). </w:t>
      </w:r>
    </w:p>
    <w:p w14:paraId="502B6696" w14:textId="77777777" w:rsidR="006363F6" w:rsidRDefault="006363F6" w:rsidP="00A4041B">
      <w:pPr>
        <w:rPr>
          <w:lang w:val="en-GB"/>
        </w:rPr>
      </w:pPr>
    </w:p>
    <w:p w14:paraId="2C0B73A4" w14:textId="77777777" w:rsidR="006363F6" w:rsidRDefault="00B9606D" w:rsidP="006363F6">
      <w:pPr>
        <w:rPr>
          <w:lang w:val="en-GB"/>
        </w:rPr>
      </w:pPr>
      <w:r w:rsidRPr="00B939B7">
        <w:rPr>
          <w:szCs w:val="24"/>
          <w:lang w:val="en-GB"/>
        </w:rPr>
        <w:t xml:space="preserve">The </w:t>
      </w:r>
      <w:r w:rsidRPr="004E7BD8">
        <w:rPr>
          <w:szCs w:val="24"/>
          <w:lang w:val="en-GB"/>
        </w:rPr>
        <w:t xml:space="preserve">interviews of the </w:t>
      </w:r>
      <w:r w:rsidRPr="00A64DC6">
        <w:rPr>
          <w:szCs w:val="24"/>
          <w:lang w:val="en-GB"/>
        </w:rPr>
        <w:t xml:space="preserve">group of students </w:t>
      </w:r>
      <w:r>
        <w:rPr>
          <w:rFonts w:eastAsia="Times New Roman"/>
          <w:szCs w:val="20"/>
          <w:lang w:val="en-GB" w:eastAsia="sv-SE"/>
        </w:rPr>
        <w:t>were both analysed in line with the administrative HE discourse and different policy discourses and resulted in a</w:t>
      </w:r>
      <w:r w:rsidRPr="00A64DC6">
        <w:rPr>
          <w:szCs w:val="24"/>
          <w:lang w:val="en-GB"/>
        </w:rPr>
        <w:t xml:space="preserve"> typology of stragglers</w:t>
      </w:r>
      <w:r>
        <w:rPr>
          <w:szCs w:val="24"/>
          <w:lang w:val="en-GB"/>
        </w:rPr>
        <w:t xml:space="preserve"> based on two dimensions; </w:t>
      </w:r>
      <w:r w:rsidRPr="009A619F">
        <w:rPr>
          <w:i/>
          <w:szCs w:val="24"/>
          <w:lang w:val="en-GB"/>
        </w:rPr>
        <w:t>commitment</w:t>
      </w:r>
      <w:r>
        <w:rPr>
          <w:szCs w:val="24"/>
          <w:lang w:val="en-GB"/>
        </w:rPr>
        <w:t xml:space="preserve"> to and </w:t>
      </w:r>
      <w:r w:rsidRPr="009A619F">
        <w:rPr>
          <w:i/>
          <w:szCs w:val="24"/>
          <w:lang w:val="en-GB"/>
        </w:rPr>
        <w:t>ability</w:t>
      </w:r>
      <w:r>
        <w:rPr>
          <w:szCs w:val="24"/>
          <w:lang w:val="en-GB"/>
        </w:rPr>
        <w:t xml:space="preserve"> to pursue the studies in the outskirts of the normal study pace. The typology and its’ dimensions were then contrasted and analysed through the student biographies in which the educational choices, crossroads, success and failures in their studies, encounters with the </w:t>
      </w:r>
      <w:r w:rsidR="00A4041B">
        <w:rPr>
          <w:szCs w:val="24"/>
          <w:lang w:val="en-GB"/>
        </w:rPr>
        <w:t xml:space="preserve">style of education </w:t>
      </w:r>
      <w:r>
        <w:rPr>
          <w:szCs w:val="24"/>
          <w:lang w:val="en-GB"/>
        </w:rPr>
        <w:t>(</w:t>
      </w:r>
      <w:proofErr w:type="spellStart"/>
      <w:r>
        <w:rPr>
          <w:szCs w:val="24"/>
          <w:lang w:val="en-GB"/>
        </w:rPr>
        <w:t>Alheit</w:t>
      </w:r>
      <w:proofErr w:type="spellEnd"/>
      <w:r>
        <w:rPr>
          <w:szCs w:val="24"/>
          <w:lang w:val="en-GB"/>
        </w:rPr>
        <w:t>,</w:t>
      </w:r>
      <w:r w:rsidR="00A4041B">
        <w:rPr>
          <w:szCs w:val="24"/>
          <w:lang w:val="en-GB"/>
        </w:rPr>
        <w:t xml:space="preserve"> 2009</w:t>
      </w:r>
      <w:r>
        <w:rPr>
          <w:szCs w:val="24"/>
          <w:lang w:val="en-GB"/>
        </w:rPr>
        <w:t>) were reflected on and were narrated into the their daily life and future horizons of their careers, teacher careers or other career paths.</w:t>
      </w:r>
      <w:r w:rsidR="006363F6">
        <w:rPr>
          <w:szCs w:val="24"/>
          <w:lang w:val="en-GB"/>
        </w:rPr>
        <w:t xml:space="preserve"> In the analysis a central theme has been how the students have been able to mobilise resources, i.e. from inherited educational capital. Two thirds of the students had low levels of inherited educational capital (Bourdieu, 1984) while one third had high levels of inherited educational capital.</w:t>
      </w:r>
      <w:r w:rsidR="006363F6">
        <w:rPr>
          <w:lang w:val="en-GB"/>
        </w:rPr>
        <w:t xml:space="preserve"> </w:t>
      </w:r>
    </w:p>
    <w:p w14:paraId="4E602AAD" w14:textId="77777777" w:rsidR="00B9606D" w:rsidRPr="006363F6" w:rsidRDefault="00B9606D" w:rsidP="00A4041B">
      <w:pPr>
        <w:rPr>
          <w:lang w:val="en-GB"/>
        </w:rPr>
      </w:pPr>
    </w:p>
    <w:p w14:paraId="5A520F5B" w14:textId="77777777" w:rsidR="008A2B53" w:rsidRPr="00A4041B" w:rsidRDefault="008A2B53" w:rsidP="00A4041B">
      <w:pPr>
        <w:rPr>
          <w:rFonts w:cs="Times New Roman"/>
          <w:szCs w:val="24"/>
        </w:rPr>
      </w:pPr>
    </w:p>
    <w:p w14:paraId="1923EE1A" w14:textId="77777777" w:rsidR="00A4041B" w:rsidRPr="00A4041B" w:rsidRDefault="00A4041B" w:rsidP="00A4041B">
      <w:pPr>
        <w:rPr>
          <w:rFonts w:eastAsia="Times New Roman" w:cs="Times New Roman"/>
          <w:color w:val="444444"/>
          <w:szCs w:val="24"/>
          <w:lang w:val="en-US" w:eastAsia="sv-SE"/>
        </w:rPr>
      </w:pPr>
    </w:p>
    <w:p w14:paraId="12721F55" w14:textId="77777777" w:rsidR="00A4041B" w:rsidRPr="00A4041B" w:rsidRDefault="00A4041B" w:rsidP="00A4041B">
      <w:pPr>
        <w:ind w:left="567" w:hanging="567"/>
        <w:rPr>
          <w:rFonts w:eastAsia="Times New Roman" w:cs="Times New Roman"/>
          <w:szCs w:val="24"/>
          <w:lang w:val="en-US" w:eastAsia="sv-SE"/>
        </w:rPr>
      </w:pPr>
      <w:proofErr w:type="spellStart"/>
      <w:r w:rsidRPr="00A4041B">
        <w:rPr>
          <w:rFonts w:eastAsia="Times New Roman" w:cs="Times New Roman"/>
          <w:color w:val="444444"/>
          <w:szCs w:val="24"/>
          <w:lang w:val="en-US" w:eastAsia="sv-SE"/>
        </w:rPr>
        <w:t>Alheit</w:t>
      </w:r>
      <w:proofErr w:type="spellEnd"/>
      <w:r w:rsidRPr="00A4041B">
        <w:rPr>
          <w:rFonts w:eastAsia="Times New Roman" w:cs="Times New Roman"/>
          <w:color w:val="444444"/>
          <w:szCs w:val="24"/>
          <w:lang w:val="en-US" w:eastAsia="sv-SE"/>
        </w:rPr>
        <w:t xml:space="preserve">, P. </w:t>
      </w:r>
      <w:bookmarkStart w:id="1" w:name="citation"/>
      <w:r w:rsidRPr="00A4041B">
        <w:rPr>
          <w:rFonts w:eastAsia="Times New Roman" w:cs="Times New Roman"/>
          <w:color w:val="333333"/>
          <w:szCs w:val="24"/>
          <w:bdr w:val="none" w:sz="0" w:space="0" w:color="auto" w:frame="1"/>
          <w:lang w:val="en-US" w:eastAsia="sv-SE"/>
        </w:rPr>
        <w:t>The symbolic power of knowledge: exclusion mechanisms of the 'University Habitus' in the German HE System</w:t>
      </w:r>
      <w:bookmarkEnd w:id="1"/>
      <w:r>
        <w:rPr>
          <w:rFonts w:eastAsia="Times New Roman" w:cs="Times New Roman"/>
          <w:szCs w:val="24"/>
          <w:lang w:val="en-US" w:eastAsia="sv-SE"/>
        </w:rPr>
        <w:t xml:space="preserve">. </w:t>
      </w:r>
      <w:r w:rsidRPr="00A4041B">
        <w:rPr>
          <w:rFonts w:eastAsia="Times New Roman" w:cs="Times New Roman"/>
          <w:color w:val="444444"/>
          <w:szCs w:val="24"/>
          <w:lang w:val="en-US" w:eastAsia="sv-SE"/>
        </w:rPr>
        <w:t>In Merrill, B. (red.) (2009). </w:t>
      </w:r>
      <w:r w:rsidRPr="00A4041B">
        <w:rPr>
          <w:rFonts w:eastAsia="Times New Roman" w:cs="Times New Roman"/>
          <w:i/>
          <w:iCs/>
          <w:color w:val="444444"/>
          <w:szCs w:val="24"/>
          <w:lang w:val="en-US" w:eastAsia="sv-SE"/>
        </w:rPr>
        <w:t>Learning to change? the role of identity and learning careers in adult education</w:t>
      </w:r>
      <w:r w:rsidR="006363F6">
        <w:rPr>
          <w:rFonts w:eastAsia="Times New Roman" w:cs="Times New Roman"/>
          <w:color w:val="444444"/>
          <w:szCs w:val="24"/>
          <w:lang w:val="en-US" w:eastAsia="sv-SE"/>
        </w:rPr>
        <w:t>. Frankfurt</w:t>
      </w:r>
      <w:r w:rsidRPr="00A4041B">
        <w:rPr>
          <w:rFonts w:eastAsia="Times New Roman" w:cs="Times New Roman"/>
          <w:color w:val="444444"/>
          <w:szCs w:val="24"/>
          <w:lang w:val="en-US" w:eastAsia="sv-SE"/>
        </w:rPr>
        <w:t>: Lang.</w:t>
      </w:r>
    </w:p>
    <w:p w14:paraId="3F28C916" w14:textId="77777777" w:rsidR="00A4041B" w:rsidRPr="00A4041B" w:rsidRDefault="00A4041B" w:rsidP="00A4041B">
      <w:pPr>
        <w:ind w:left="567" w:hanging="567"/>
        <w:rPr>
          <w:szCs w:val="20"/>
          <w:lang w:val="en-GB"/>
        </w:rPr>
      </w:pPr>
      <w:proofErr w:type="spellStart"/>
      <w:r w:rsidRPr="00594256">
        <w:rPr>
          <w:szCs w:val="20"/>
          <w:lang w:val="en-GB"/>
        </w:rPr>
        <w:t>Bathmaker</w:t>
      </w:r>
      <w:proofErr w:type="spellEnd"/>
      <w:r w:rsidRPr="00594256">
        <w:rPr>
          <w:szCs w:val="20"/>
          <w:lang w:val="en-GB"/>
        </w:rPr>
        <w:t xml:space="preserve">, A-M., </w:t>
      </w:r>
      <w:r w:rsidR="006363F6">
        <w:rPr>
          <w:szCs w:val="20"/>
          <w:lang w:val="en-GB"/>
        </w:rPr>
        <w:t>et al</w:t>
      </w:r>
      <w:r w:rsidRPr="00594256">
        <w:rPr>
          <w:szCs w:val="20"/>
          <w:lang w:val="en-GB"/>
        </w:rPr>
        <w:t xml:space="preserve"> (2013). Higher education, social class and the mobilization of capitals: recognizing and playing the game. </w:t>
      </w:r>
      <w:r w:rsidRPr="00594256">
        <w:rPr>
          <w:i/>
          <w:szCs w:val="20"/>
          <w:lang w:val="en-GB"/>
        </w:rPr>
        <w:t>British Journal of Sociology of Education</w:t>
      </w:r>
      <w:r>
        <w:rPr>
          <w:szCs w:val="20"/>
          <w:lang w:val="en-GB"/>
        </w:rPr>
        <w:t>, 34(</w:t>
      </w:r>
      <w:r w:rsidRPr="00594256">
        <w:rPr>
          <w:szCs w:val="20"/>
          <w:lang w:val="en-GB"/>
        </w:rPr>
        <w:t>56</w:t>
      </w:r>
      <w:r>
        <w:rPr>
          <w:szCs w:val="20"/>
          <w:lang w:val="en-GB"/>
        </w:rPr>
        <w:t xml:space="preserve">), </w:t>
      </w:r>
      <w:r w:rsidRPr="00594256">
        <w:rPr>
          <w:szCs w:val="20"/>
          <w:lang w:val="en-GB"/>
        </w:rPr>
        <w:t>723</w:t>
      </w:r>
      <w:r>
        <w:rPr>
          <w:szCs w:val="20"/>
          <w:lang w:val="en-GB"/>
        </w:rPr>
        <w:t>–</w:t>
      </w:r>
      <w:r w:rsidRPr="00594256">
        <w:rPr>
          <w:szCs w:val="20"/>
          <w:lang w:val="en-GB"/>
        </w:rPr>
        <w:t>743.</w:t>
      </w:r>
    </w:p>
    <w:p w14:paraId="1AB7163B" w14:textId="77777777" w:rsidR="00A4041B" w:rsidRPr="00594256" w:rsidRDefault="00A4041B" w:rsidP="00A4041B">
      <w:pPr>
        <w:autoSpaceDE w:val="0"/>
        <w:autoSpaceDN w:val="0"/>
        <w:adjustRightInd w:val="0"/>
        <w:ind w:left="567" w:hanging="567"/>
        <w:rPr>
          <w:color w:val="000000"/>
          <w:szCs w:val="20"/>
          <w:lang w:val="en-GB"/>
        </w:rPr>
      </w:pPr>
      <w:r w:rsidRPr="00594256">
        <w:rPr>
          <w:color w:val="000000"/>
          <w:szCs w:val="20"/>
          <w:lang w:val="en-GB"/>
        </w:rPr>
        <w:t xml:space="preserve">Bourdieu, P. (1984). </w:t>
      </w:r>
      <w:r w:rsidRPr="00594256">
        <w:rPr>
          <w:i/>
          <w:iCs/>
          <w:color w:val="000000"/>
          <w:szCs w:val="20"/>
          <w:lang w:val="en-GB"/>
        </w:rPr>
        <w:t xml:space="preserve">Distinction. A social critique of the judgment of taste. </w:t>
      </w:r>
      <w:r w:rsidRPr="00594256">
        <w:rPr>
          <w:color w:val="000000"/>
          <w:szCs w:val="20"/>
          <w:lang w:val="en-GB"/>
        </w:rPr>
        <w:t>London: Routledge.</w:t>
      </w:r>
    </w:p>
    <w:p w14:paraId="7CDC829D" w14:textId="77777777" w:rsidR="00A4041B" w:rsidRPr="00A4041B" w:rsidRDefault="00A4041B" w:rsidP="00A4041B">
      <w:pPr>
        <w:rPr>
          <w:rFonts w:cs="Times New Roman"/>
          <w:szCs w:val="24"/>
        </w:rPr>
      </w:pPr>
    </w:p>
    <w:sectPr w:rsidR="00A4041B" w:rsidRPr="00A4041B" w:rsidSect="008A2B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E0BE7"/>
    <w:multiLevelType w:val="multilevel"/>
    <w:tmpl w:val="AFB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6D"/>
    <w:rsid w:val="000E1089"/>
    <w:rsid w:val="00111E59"/>
    <w:rsid w:val="001B7012"/>
    <w:rsid w:val="003F045B"/>
    <w:rsid w:val="006363F6"/>
    <w:rsid w:val="00670643"/>
    <w:rsid w:val="006A56F8"/>
    <w:rsid w:val="008A2B53"/>
    <w:rsid w:val="00A0691C"/>
    <w:rsid w:val="00A4041B"/>
    <w:rsid w:val="00B9606D"/>
    <w:rsid w:val="00F9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85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6D"/>
    <w:rPr>
      <w:rFonts w:ascii="Times New Roman" w:eastAsiaTheme="minorHAnsi" w:hAnsi="Times New Roman"/>
      <w:szCs w:val="22"/>
      <w:lang w:val="sv-SE" w:eastAsia="en-US"/>
    </w:rPr>
  </w:style>
  <w:style w:type="paragraph" w:styleId="Overskrift1">
    <w:name w:val="heading 1"/>
    <w:basedOn w:val="Normal"/>
    <w:next w:val="Normal"/>
    <w:link w:val="Overskrift1Tegn"/>
    <w:uiPriority w:val="9"/>
    <w:qFormat/>
    <w:rsid w:val="00670643"/>
    <w:pPr>
      <w:keepNext/>
      <w:keepLines/>
      <w:spacing w:before="480"/>
      <w:outlineLvl w:val="0"/>
    </w:pPr>
    <w:rPr>
      <w:rFonts w:eastAsiaTheme="majorEastAsia" w:cstheme="majorBidi"/>
      <w:b/>
      <w:bCs/>
      <w:sz w:val="32"/>
      <w:szCs w:val="32"/>
    </w:rPr>
  </w:style>
  <w:style w:type="paragraph" w:styleId="Overskrift2">
    <w:name w:val="heading 2"/>
    <w:basedOn w:val="Normal"/>
    <w:next w:val="Normal"/>
    <w:link w:val="Overskrift2Tegn"/>
    <w:autoRedefine/>
    <w:uiPriority w:val="9"/>
    <w:unhideWhenUsed/>
    <w:qFormat/>
    <w:rsid w:val="003F045B"/>
    <w:pPr>
      <w:keepNext/>
      <w:keepLines/>
      <w:spacing w:before="200"/>
      <w:contextualSpacing/>
      <w:outlineLvl w:val="1"/>
    </w:pPr>
    <w:rPr>
      <w:rFonts w:eastAsiaTheme="majorEastAsia" w:cs="Times New Roman"/>
      <w:bCs/>
      <w:sz w:val="28"/>
      <w:szCs w:val="24"/>
    </w:rPr>
  </w:style>
  <w:style w:type="paragraph" w:styleId="Overskrift3">
    <w:name w:val="heading 3"/>
    <w:basedOn w:val="Normal"/>
    <w:next w:val="Normal"/>
    <w:link w:val="Overskrift3Tegn"/>
    <w:autoRedefine/>
    <w:uiPriority w:val="9"/>
    <w:unhideWhenUsed/>
    <w:qFormat/>
    <w:rsid w:val="003F045B"/>
    <w:pPr>
      <w:keepNext/>
      <w:keepLines/>
      <w:spacing w:before="200"/>
      <w:contextualSpacing/>
      <w:outlineLvl w:val="2"/>
    </w:pPr>
    <w:rPr>
      <w:rFonts w:eastAsiaTheme="majorEastAsia" w:cstheme="majorBidi"/>
      <w:bCs/>
      <w:i/>
      <w:sz w:val="28"/>
    </w:rPr>
  </w:style>
  <w:style w:type="paragraph" w:styleId="Overskrift4">
    <w:name w:val="heading 4"/>
    <w:basedOn w:val="Normal"/>
    <w:next w:val="Normal"/>
    <w:link w:val="Overskrift4Tegn"/>
    <w:autoRedefine/>
    <w:uiPriority w:val="9"/>
    <w:semiHidden/>
    <w:unhideWhenUsed/>
    <w:qFormat/>
    <w:rsid w:val="003F045B"/>
    <w:pPr>
      <w:keepNext/>
      <w:keepLines/>
      <w:spacing w:before="200"/>
      <w:outlineLvl w:val="3"/>
    </w:pPr>
    <w:rPr>
      <w:rFonts w:eastAsiaTheme="majorEastAsia" w:cstheme="majorBidi"/>
      <w:bCs/>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70643"/>
    <w:rPr>
      <w:rFonts w:ascii="Times New Roman" w:eastAsiaTheme="majorEastAsia" w:hAnsi="Times New Roman" w:cstheme="majorBidi"/>
      <w:b/>
      <w:bCs/>
      <w:sz w:val="32"/>
      <w:szCs w:val="32"/>
    </w:rPr>
  </w:style>
  <w:style w:type="character" w:customStyle="1" w:styleId="Overskrift2Tegn">
    <w:name w:val="Overskrift 2 Tegn"/>
    <w:basedOn w:val="Standardskrifttypeiafsnit"/>
    <w:link w:val="Overskrift2"/>
    <w:uiPriority w:val="9"/>
    <w:rsid w:val="003F045B"/>
    <w:rPr>
      <w:rFonts w:ascii="Times New Roman" w:eastAsiaTheme="majorEastAsia" w:hAnsi="Times New Roman" w:cs="Times New Roman"/>
      <w:bCs/>
      <w:sz w:val="28"/>
      <w:lang w:val="sv-SE" w:eastAsia="en-US"/>
    </w:rPr>
  </w:style>
  <w:style w:type="character" w:customStyle="1" w:styleId="Overskrift3Tegn">
    <w:name w:val="Overskrift 3 Tegn"/>
    <w:basedOn w:val="Standardskrifttypeiafsnit"/>
    <w:link w:val="Overskrift3"/>
    <w:uiPriority w:val="9"/>
    <w:rsid w:val="003F045B"/>
    <w:rPr>
      <w:rFonts w:ascii="Times New Roman" w:eastAsiaTheme="majorEastAsia" w:hAnsi="Times New Roman" w:cstheme="majorBidi"/>
      <w:bCs/>
      <w:i/>
      <w:sz w:val="28"/>
      <w:szCs w:val="22"/>
      <w:lang w:val="sv-SE" w:eastAsia="en-US"/>
    </w:rPr>
  </w:style>
  <w:style w:type="character" w:customStyle="1" w:styleId="Overskrift4Tegn">
    <w:name w:val="Overskrift 4 Tegn"/>
    <w:basedOn w:val="Standardskrifttypeiafsnit"/>
    <w:link w:val="Overskrift4"/>
    <w:uiPriority w:val="9"/>
    <w:semiHidden/>
    <w:rsid w:val="003F045B"/>
    <w:rPr>
      <w:rFonts w:ascii="Times New Roman" w:eastAsiaTheme="majorEastAsia" w:hAnsi="Times New Roman" w:cstheme="majorBidi"/>
      <w:bCs/>
      <w:i/>
      <w:iCs/>
      <w:color w:val="000000" w:themeColor="text1"/>
      <w:szCs w:val="22"/>
      <w:lang w:val="sv-SE" w:eastAsia="en-US"/>
    </w:rPr>
  </w:style>
  <w:style w:type="character" w:styleId="Strk">
    <w:name w:val="Strong"/>
    <w:basedOn w:val="Standardskrifttypeiafsnit"/>
    <w:uiPriority w:val="22"/>
    <w:qFormat/>
    <w:rsid w:val="00A4041B"/>
    <w:rPr>
      <w:b/>
      <w:bCs/>
    </w:rPr>
  </w:style>
  <w:style w:type="character" w:customStyle="1" w:styleId="apple-converted-space">
    <w:name w:val="apple-converted-space"/>
    <w:basedOn w:val="Standardskrifttypeiafsnit"/>
    <w:rsid w:val="00A4041B"/>
  </w:style>
  <w:style w:type="character" w:styleId="Fremhv">
    <w:name w:val="Emphasis"/>
    <w:basedOn w:val="Standardskrifttypeiafsnit"/>
    <w:uiPriority w:val="20"/>
    <w:qFormat/>
    <w:rsid w:val="00A4041B"/>
    <w:rPr>
      <w:i/>
      <w:iCs/>
    </w:rPr>
  </w:style>
  <w:style w:type="paragraph" w:styleId="Listeafsnit">
    <w:name w:val="List Paragraph"/>
    <w:basedOn w:val="Normal"/>
    <w:uiPriority w:val="34"/>
    <w:qFormat/>
    <w:rsid w:val="00A40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6D"/>
    <w:rPr>
      <w:rFonts w:ascii="Times New Roman" w:eastAsiaTheme="minorHAnsi" w:hAnsi="Times New Roman"/>
      <w:szCs w:val="22"/>
      <w:lang w:val="sv-SE" w:eastAsia="en-US"/>
    </w:rPr>
  </w:style>
  <w:style w:type="paragraph" w:styleId="Overskrift1">
    <w:name w:val="heading 1"/>
    <w:basedOn w:val="Normal"/>
    <w:next w:val="Normal"/>
    <w:link w:val="Overskrift1Tegn"/>
    <w:uiPriority w:val="9"/>
    <w:qFormat/>
    <w:rsid w:val="00670643"/>
    <w:pPr>
      <w:keepNext/>
      <w:keepLines/>
      <w:spacing w:before="480"/>
      <w:outlineLvl w:val="0"/>
    </w:pPr>
    <w:rPr>
      <w:rFonts w:eastAsiaTheme="majorEastAsia" w:cstheme="majorBidi"/>
      <w:b/>
      <w:bCs/>
      <w:sz w:val="32"/>
      <w:szCs w:val="32"/>
    </w:rPr>
  </w:style>
  <w:style w:type="paragraph" w:styleId="Overskrift2">
    <w:name w:val="heading 2"/>
    <w:basedOn w:val="Normal"/>
    <w:next w:val="Normal"/>
    <w:link w:val="Overskrift2Tegn"/>
    <w:autoRedefine/>
    <w:uiPriority w:val="9"/>
    <w:unhideWhenUsed/>
    <w:qFormat/>
    <w:rsid w:val="003F045B"/>
    <w:pPr>
      <w:keepNext/>
      <w:keepLines/>
      <w:spacing w:before="200"/>
      <w:contextualSpacing/>
      <w:outlineLvl w:val="1"/>
    </w:pPr>
    <w:rPr>
      <w:rFonts w:eastAsiaTheme="majorEastAsia" w:cs="Times New Roman"/>
      <w:bCs/>
      <w:sz w:val="28"/>
      <w:szCs w:val="24"/>
    </w:rPr>
  </w:style>
  <w:style w:type="paragraph" w:styleId="Overskrift3">
    <w:name w:val="heading 3"/>
    <w:basedOn w:val="Normal"/>
    <w:next w:val="Normal"/>
    <w:link w:val="Overskrift3Tegn"/>
    <w:autoRedefine/>
    <w:uiPriority w:val="9"/>
    <w:unhideWhenUsed/>
    <w:qFormat/>
    <w:rsid w:val="003F045B"/>
    <w:pPr>
      <w:keepNext/>
      <w:keepLines/>
      <w:spacing w:before="200"/>
      <w:contextualSpacing/>
      <w:outlineLvl w:val="2"/>
    </w:pPr>
    <w:rPr>
      <w:rFonts w:eastAsiaTheme="majorEastAsia" w:cstheme="majorBidi"/>
      <w:bCs/>
      <w:i/>
      <w:sz w:val="28"/>
    </w:rPr>
  </w:style>
  <w:style w:type="paragraph" w:styleId="Overskrift4">
    <w:name w:val="heading 4"/>
    <w:basedOn w:val="Normal"/>
    <w:next w:val="Normal"/>
    <w:link w:val="Overskrift4Tegn"/>
    <w:autoRedefine/>
    <w:uiPriority w:val="9"/>
    <w:semiHidden/>
    <w:unhideWhenUsed/>
    <w:qFormat/>
    <w:rsid w:val="003F045B"/>
    <w:pPr>
      <w:keepNext/>
      <w:keepLines/>
      <w:spacing w:before="200"/>
      <w:outlineLvl w:val="3"/>
    </w:pPr>
    <w:rPr>
      <w:rFonts w:eastAsiaTheme="majorEastAsia" w:cstheme="majorBidi"/>
      <w:bCs/>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70643"/>
    <w:rPr>
      <w:rFonts w:ascii="Times New Roman" w:eastAsiaTheme="majorEastAsia" w:hAnsi="Times New Roman" w:cstheme="majorBidi"/>
      <w:b/>
      <w:bCs/>
      <w:sz w:val="32"/>
      <w:szCs w:val="32"/>
    </w:rPr>
  </w:style>
  <w:style w:type="character" w:customStyle="1" w:styleId="Overskrift2Tegn">
    <w:name w:val="Overskrift 2 Tegn"/>
    <w:basedOn w:val="Standardskrifttypeiafsnit"/>
    <w:link w:val="Overskrift2"/>
    <w:uiPriority w:val="9"/>
    <w:rsid w:val="003F045B"/>
    <w:rPr>
      <w:rFonts w:ascii="Times New Roman" w:eastAsiaTheme="majorEastAsia" w:hAnsi="Times New Roman" w:cs="Times New Roman"/>
      <w:bCs/>
      <w:sz w:val="28"/>
      <w:lang w:val="sv-SE" w:eastAsia="en-US"/>
    </w:rPr>
  </w:style>
  <w:style w:type="character" w:customStyle="1" w:styleId="Overskrift3Tegn">
    <w:name w:val="Overskrift 3 Tegn"/>
    <w:basedOn w:val="Standardskrifttypeiafsnit"/>
    <w:link w:val="Overskrift3"/>
    <w:uiPriority w:val="9"/>
    <w:rsid w:val="003F045B"/>
    <w:rPr>
      <w:rFonts w:ascii="Times New Roman" w:eastAsiaTheme="majorEastAsia" w:hAnsi="Times New Roman" w:cstheme="majorBidi"/>
      <w:bCs/>
      <w:i/>
      <w:sz w:val="28"/>
      <w:szCs w:val="22"/>
      <w:lang w:val="sv-SE" w:eastAsia="en-US"/>
    </w:rPr>
  </w:style>
  <w:style w:type="character" w:customStyle="1" w:styleId="Overskrift4Tegn">
    <w:name w:val="Overskrift 4 Tegn"/>
    <w:basedOn w:val="Standardskrifttypeiafsnit"/>
    <w:link w:val="Overskrift4"/>
    <w:uiPriority w:val="9"/>
    <w:semiHidden/>
    <w:rsid w:val="003F045B"/>
    <w:rPr>
      <w:rFonts w:ascii="Times New Roman" w:eastAsiaTheme="majorEastAsia" w:hAnsi="Times New Roman" w:cstheme="majorBidi"/>
      <w:bCs/>
      <w:i/>
      <w:iCs/>
      <w:color w:val="000000" w:themeColor="text1"/>
      <w:szCs w:val="22"/>
      <w:lang w:val="sv-SE" w:eastAsia="en-US"/>
    </w:rPr>
  </w:style>
  <w:style w:type="character" w:styleId="Strk">
    <w:name w:val="Strong"/>
    <w:basedOn w:val="Standardskrifttypeiafsnit"/>
    <w:uiPriority w:val="22"/>
    <w:qFormat/>
    <w:rsid w:val="00A4041B"/>
    <w:rPr>
      <w:b/>
      <w:bCs/>
    </w:rPr>
  </w:style>
  <w:style w:type="character" w:customStyle="1" w:styleId="apple-converted-space">
    <w:name w:val="apple-converted-space"/>
    <w:basedOn w:val="Standardskrifttypeiafsnit"/>
    <w:rsid w:val="00A4041B"/>
  </w:style>
  <w:style w:type="character" w:styleId="Fremhv">
    <w:name w:val="Emphasis"/>
    <w:basedOn w:val="Standardskrifttypeiafsnit"/>
    <w:uiPriority w:val="20"/>
    <w:qFormat/>
    <w:rsid w:val="00A4041B"/>
    <w:rPr>
      <w:i/>
      <w:iCs/>
    </w:rPr>
  </w:style>
  <w:style w:type="paragraph" w:styleId="Listeafsnit">
    <w:name w:val="List Paragraph"/>
    <w:basedOn w:val="Normal"/>
    <w:uiPriority w:val="34"/>
    <w:qFormat/>
    <w:rsid w:val="00A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4096">
      <w:bodyDiv w:val="1"/>
      <w:marLeft w:val="0"/>
      <w:marRight w:val="0"/>
      <w:marTop w:val="0"/>
      <w:marBottom w:val="0"/>
      <w:divBdr>
        <w:top w:val="none" w:sz="0" w:space="0" w:color="auto"/>
        <w:left w:val="none" w:sz="0" w:space="0" w:color="auto"/>
        <w:bottom w:val="none" w:sz="0" w:space="0" w:color="auto"/>
        <w:right w:val="none" w:sz="0" w:space="0" w:color="auto"/>
      </w:divBdr>
    </w:div>
    <w:div w:id="1831099950">
      <w:bodyDiv w:val="1"/>
      <w:marLeft w:val="0"/>
      <w:marRight w:val="0"/>
      <w:marTop w:val="0"/>
      <w:marBottom w:val="0"/>
      <w:divBdr>
        <w:top w:val="none" w:sz="0" w:space="0" w:color="auto"/>
        <w:left w:val="none" w:sz="0" w:space="0" w:color="auto"/>
        <w:bottom w:val="none" w:sz="0" w:space="0" w:color="auto"/>
        <w:right w:val="none" w:sz="0" w:space="0" w:color="auto"/>
      </w:divBdr>
    </w:div>
    <w:div w:id="1938245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2713</Characters>
  <Application>Microsoft Office Word</Application>
  <DocSecurity>0</DocSecurity>
  <Lines>43</Lines>
  <Paragraphs>8</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3205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2016-12-22T11:45:00Z</dcterms:created>
  <dcterms:modified xsi:type="dcterms:W3CDTF">2016-12-22T11:45:00Z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