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DE34" w14:textId="77777777" w:rsidR="008150AA" w:rsidRDefault="008150AA" w:rsidP="00CF25F7">
      <w:pPr>
        <w:jc w:val="center"/>
        <w:rPr>
          <w:rFonts w:ascii="Times" w:hAnsi="Times" w:cs="Verdana"/>
          <w:b/>
          <w:color w:val="191919"/>
          <w:sz w:val="22"/>
          <w:szCs w:val="22"/>
        </w:rPr>
      </w:pPr>
    </w:p>
    <w:p w14:paraId="55956C13" w14:textId="290F969A" w:rsidR="00603B47" w:rsidRDefault="00603B47" w:rsidP="00CF25F7">
      <w:pPr>
        <w:jc w:val="center"/>
        <w:rPr>
          <w:rFonts w:ascii="Times" w:hAnsi="Times" w:cs="Verdana"/>
          <w:b/>
          <w:color w:val="191919"/>
          <w:sz w:val="22"/>
          <w:szCs w:val="22"/>
        </w:rPr>
      </w:pPr>
      <w:bookmarkStart w:id="0" w:name="_GoBack"/>
      <w:bookmarkEnd w:id="0"/>
      <w:r>
        <w:rPr>
          <w:rFonts w:ascii="Times" w:hAnsi="Times" w:cs="Verdana"/>
          <w:b/>
          <w:color w:val="191919"/>
          <w:sz w:val="22"/>
          <w:szCs w:val="22"/>
        </w:rPr>
        <w:t>Students’ unfair struggle to choose between learning, grades and their future</w:t>
      </w:r>
    </w:p>
    <w:p w14:paraId="0271A639" w14:textId="77777777" w:rsidR="00CF25F7" w:rsidRPr="00CF25F7" w:rsidRDefault="00CF25F7" w:rsidP="00A316A3">
      <w:pPr>
        <w:jc w:val="both"/>
        <w:rPr>
          <w:rFonts w:ascii="Times" w:hAnsi="Times"/>
          <w:i/>
        </w:rPr>
      </w:pPr>
    </w:p>
    <w:p w14:paraId="6F49FCA7" w14:textId="35693877" w:rsidR="00A316A3" w:rsidRPr="00CF25F7" w:rsidRDefault="00A316A3" w:rsidP="00A316A3">
      <w:pPr>
        <w:jc w:val="both"/>
        <w:rPr>
          <w:rFonts w:ascii="Times" w:hAnsi="Times"/>
          <w:i/>
        </w:rPr>
      </w:pPr>
      <w:r w:rsidRPr="00CF25F7">
        <w:rPr>
          <w:rFonts w:ascii="Times" w:hAnsi="Times"/>
          <w:i/>
        </w:rPr>
        <w:t>It is a bit sad that all our focus is on what we need to learn for the test, but that is what always happens. We have to</w:t>
      </w:r>
      <w:r w:rsidR="00F71E49">
        <w:rPr>
          <w:rFonts w:ascii="Times" w:hAnsi="Times"/>
          <w:i/>
        </w:rPr>
        <w:t xml:space="preserve"> [learn it]</w:t>
      </w:r>
      <w:r w:rsidRPr="00CF25F7">
        <w:rPr>
          <w:rFonts w:ascii="Times" w:hAnsi="Times"/>
          <w:i/>
        </w:rPr>
        <w:t>, not because it is part of the course or the topic that we are exploring at the moment but because “we have to know this exercise because it will be on the test”.  (Anna 17)</w:t>
      </w:r>
    </w:p>
    <w:p w14:paraId="66524A44" w14:textId="70335562" w:rsidR="00F570E1" w:rsidRDefault="00A316A3" w:rsidP="00A316A3">
      <w:pPr>
        <w:jc w:val="both"/>
        <w:rPr>
          <w:rFonts w:ascii="Times" w:hAnsi="Times"/>
        </w:rPr>
      </w:pPr>
      <w:r w:rsidRPr="00CF25F7">
        <w:rPr>
          <w:rFonts w:ascii="Times" w:hAnsi="Times"/>
        </w:rPr>
        <w:t xml:space="preserve">We started out to explore the effects of using pictorial instruction </w:t>
      </w:r>
      <w:r w:rsidR="005B5577" w:rsidRPr="00CF25F7">
        <w:rPr>
          <w:rFonts w:ascii="Times" w:hAnsi="Times"/>
        </w:rPr>
        <w:t xml:space="preserve">in chemistry laboratory classes in secondary schools, but </w:t>
      </w:r>
      <w:r w:rsidR="00234EFA" w:rsidRPr="00CF25F7">
        <w:rPr>
          <w:rFonts w:ascii="Times" w:hAnsi="Times"/>
        </w:rPr>
        <w:t>in the</w:t>
      </w:r>
      <w:r w:rsidR="004453A1">
        <w:rPr>
          <w:rFonts w:ascii="Times" w:hAnsi="Times"/>
        </w:rPr>
        <w:t xml:space="preserve"> stories that </w:t>
      </w:r>
      <w:r w:rsidR="00B24BD6">
        <w:rPr>
          <w:rFonts w:ascii="Times" w:hAnsi="Times"/>
        </w:rPr>
        <w:t>the students</w:t>
      </w:r>
      <w:r w:rsidR="004453A1">
        <w:rPr>
          <w:rFonts w:ascii="Times" w:hAnsi="Times"/>
        </w:rPr>
        <w:t xml:space="preserve"> told </w:t>
      </w:r>
      <w:r w:rsidR="00234EFA" w:rsidRPr="00CF25F7">
        <w:rPr>
          <w:rFonts w:ascii="Times" w:hAnsi="Times"/>
        </w:rPr>
        <w:t xml:space="preserve">us we found something unexpected. </w:t>
      </w:r>
      <w:r w:rsidR="00FD099D">
        <w:rPr>
          <w:rFonts w:ascii="Times" w:hAnsi="Times"/>
        </w:rPr>
        <w:t>These young adults</w:t>
      </w:r>
      <w:r w:rsidR="00CF25F7">
        <w:rPr>
          <w:rFonts w:ascii="Times" w:hAnsi="Times"/>
        </w:rPr>
        <w:t xml:space="preserve"> </w:t>
      </w:r>
      <w:r w:rsidR="004453A1">
        <w:rPr>
          <w:rFonts w:ascii="Times" w:hAnsi="Times"/>
        </w:rPr>
        <w:t>explained to</w:t>
      </w:r>
      <w:r w:rsidR="00CF25F7">
        <w:rPr>
          <w:rFonts w:ascii="Times" w:hAnsi="Times"/>
        </w:rPr>
        <w:t xml:space="preserve"> us how they focus</w:t>
      </w:r>
      <w:r w:rsidR="0058055C">
        <w:rPr>
          <w:rFonts w:ascii="Times" w:hAnsi="Times"/>
        </w:rPr>
        <w:t xml:space="preserve"> on</w:t>
      </w:r>
      <w:r w:rsidR="00CF25F7">
        <w:rPr>
          <w:rFonts w:ascii="Times" w:hAnsi="Times"/>
        </w:rPr>
        <w:t xml:space="preserve"> grades an</w:t>
      </w:r>
      <w:r w:rsidR="0058055C">
        <w:rPr>
          <w:rFonts w:ascii="Times" w:hAnsi="Times"/>
        </w:rPr>
        <w:t xml:space="preserve">d assessment, </w:t>
      </w:r>
      <w:r w:rsidR="00CF25F7">
        <w:rPr>
          <w:rFonts w:ascii="Times" w:hAnsi="Times"/>
        </w:rPr>
        <w:t>and how they sometimes felt that they prioritized grades over learning.</w:t>
      </w:r>
      <w:r w:rsidR="005D7D1C">
        <w:rPr>
          <w:rFonts w:ascii="Times" w:hAnsi="Times"/>
        </w:rPr>
        <w:t xml:space="preserve"> </w:t>
      </w:r>
      <w:r w:rsidR="00493707">
        <w:rPr>
          <w:rFonts w:ascii="Times" w:hAnsi="Times"/>
        </w:rPr>
        <w:t>While this in itself was not</w:t>
      </w:r>
      <w:r w:rsidR="00FD099D">
        <w:rPr>
          <w:rFonts w:ascii="Times" w:hAnsi="Times"/>
        </w:rPr>
        <w:t xml:space="preserve"> so</w:t>
      </w:r>
      <w:r w:rsidR="00493707">
        <w:rPr>
          <w:rFonts w:ascii="Times" w:hAnsi="Times"/>
        </w:rPr>
        <w:t xml:space="preserve"> surprising, it was interesting to learn from </w:t>
      </w:r>
      <w:r w:rsidR="00FD099D">
        <w:rPr>
          <w:rFonts w:ascii="Times" w:hAnsi="Times"/>
        </w:rPr>
        <w:t>them</w:t>
      </w:r>
      <w:r w:rsidR="00493707">
        <w:rPr>
          <w:rFonts w:ascii="Times" w:hAnsi="Times"/>
        </w:rPr>
        <w:t xml:space="preserve"> that the main reason for the focus on grades </w:t>
      </w:r>
      <w:r w:rsidR="002E6300">
        <w:rPr>
          <w:rFonts w:ascii="Times" w:hAnsi="Times"/>
        </w:rPr>
        <w:t xml:space="preserve">was to be accepted at the “right” university. </w:t>
      </w:r>
      <w:r w:rsidR="00FD099D">
        <w:rPr>
          <w:rFonts w:ascii="Times" w:hAnsi="Times"/>
        </w:rPr>
        <w:t>These young adults</w:t>
      </w:r>
      <w:r w:rsidR="00B24BD6">
        <w:rPr>
          <w:rFonts w:ascii="Times" w:hAnsi="Times"/>
        </w:rPr>
        <w:t xml:space="preserve"> wanted to be prepared for the transition from school to university. </w:t>
      </w:r>
      <w:r w:rsidR="00FD099D">
        <w:rPr>
          <w:rFonts w:ascii="Times" w:hAnsi="Times"/>
        </w:rPr>
        <w:t>They</w:t>
      </w:r>
      <w:r w:rsidR="00B24BD6" w:rsidRPr="00B24BD6">
        <w:rPr>
          <w:rFonts w:ascii="Times" w:hAnsi="Times"/>
        </w:rPr>
        <w:t xml:space="preserve"> </w:t>
      </w:r>
      <w:r w:rsidR="00B24BD6">
        <w:rPr>
          <w:rFonts w:ascii="Times" w:hAnsi="Times"/>
        </w:rPr>
        <w:t xml:space="preserve">were simultaneously aware that focusing on tests and grades was not necessarily helping their learning, </w:t>
      </w:r>
      <w:r w:rsidR="00FD099D">
        <w:rPr>
          <w:rFonts w:ascii="Times" w:hAnsi="Times"/>
        </w:rPr>
        <w:t xml:space="preserve">and </w:t>
      </w:r>
      <w:r w:rsidR="00B24BD6">
        <w:rPr>
          <w:rFonts w:ascii="Times" w:hAnsi="Times"/>
        </w:rPr>
        <w:t xml:space="preserve">at the same time grades were important for their future. </w:t>
      </w:r>
      <w:r w:rsidR="00880DCF">
        <w:rPr>
          <w:rFonts w:ascii="Times" w:hAnsi="Times"/>
        </w:rPr>
        <w:t>Being in the center of this paradox</w:t>
      </w:r>
      <w:r w:rsidR="003B6D4B">
        <w:rPr>
          <w:rFonts w:ascii="Times" w:hAnsi="Times"/>
        </w:rPr>
        <w:t xml:space="preserve"> made</w:t>
      </w:r>
      <w:r w:rsidR="00201AF8">
        <w:rPr>
          <w:rFonts w:ascii="Times" w:hAnsi="Times"/>
        </w:rPr>
        <w:t xml:space="preserve"> the students sad </w:t>
      </w:r>
      <w:r w:rsidR="003B6D4B">
        <w:rPr>
          <w:rFonts w:ascii="Times" w:hAnsi="Times"/>
        </w:rPr>
        <w:t>and feeling helpless, as they did</w:t>
      </w:r>
      <w:r w:rsidR="00201AF8">
        <w:rPr>
          <w:rFonts w:ascii="Times" w:hAnsi="Times"/>
        </w:rPr>
        <w:t xml:space="preserve"> </w:t>
      </w:r>
      <w:r w:rsidR="00A76A87" w:rsidRPr="00CF25F7">
        <w:rPr>
          <w:rFonts w:ascii="Times" w:hAnsi="Times"/>
        </w:rPr>
        <w:t>not know how</w:t>
      </w:r>
      <w:r w:rsidR="003B6D4B">
        <w:rPr>
          <w:rFonts w:ascii="Times" w:hAnsi="Times"/>
        </w:rPr>
        <w:t xml:space="preserve"> to</w:t>
      </w:r>
      <w:r w:rsidR="00A76A87" w:rsidRPr="00CF25F7">
        <w:rPr>
          <w:rFonts w:ascii="Times" w:hAnsi="Times"/>
        </w:rPr>
        <w:t xml:space="preserve"> </w:t>
      </w:r>
      <w:r w:rsidR="00FD099D">
        <w:rPr>
          <w:rFonts w:ascii="Times" w:hAnsi="Times"/>
        </w:rPr>
        <w:t>balance both aspects</w:t>
      </w:r>
      <w:r w:rsidR="00A76A87" w:rsidRPr="00CF25F7">
        <w:rPr>
          <w:rFonts w:ascii="Times" w:hAnsi="Times"/>
        </w:rPr>
        <w:t>.</w:t>
      </w:r>
      <w:r w:rsidR="00201AF8">
        <w:rPr>
          <w:rFonts w:ascii="Times" w:hAnsi="Times"/>
        </w:rPr>
        <w:t xml:space="preserve"> </w:t>
      </w:r>
    </w:p>
    <w:p w14:paraId="32862044" w14:textId="75F8C68C" w:rsidR="003B6D4B" w:rsidRDefault="003B6D4B" w:rsidP="00A316A3">
      <w:pPr>
        <w:jc w:val="both"/>
        <w:rPr>
          <w:rFonts w:ascii="Times" w:hAnsi="Times"/>
        </w:rPr>
      </w:pPr>
      <w:r>
        <w:rPr>
          <w:rFonts w:ascii="Times" w:hAnsi="Times"/>
        </w:rPr>
        <w:t xml:space="preserve">The stories this paper is based on where collected through focus group interviews and in-class observations at two secondary schools with high performing students in Sweden. </w:t>
      </w:r>
      <w:r w:rsidR="00E60413">
        <w:rPr>
          <w:rFonts w:ascii="Times" w:hAnsi="Times"/>
        </w:rPr>
        <w:t>It is through the</w:t>
      </w:r>
      <w:r w:rsidR="00FD099D">
        <w:rPr>
          <w:rFonts w:ascii="Times" w:hAnsi="Times"/>
        </w:rPr>
        <w:t>se</w:t>
      </w:r>
      <w:r w:rsidR="00E60413">
        <w:rPr>
          <w:rFonts w:ascii="Times" w:hAnsi="Times"/>
        </w:rPr>
        <w:t xml:space="preserve"> </w:t>
      </w:r>
      <w:r w:rsidR="00880DCF">
        <w:rPr>
          <w:rFonts w:ascii="Times" w:hAnsi="Times"/>
        </w:rPr>
        <w:t>accounts</w:t>
      </w:r>
      <w:r w:rsidR="00E60413">
        <w:rPr>
          <w:rFonts w:ascii="Times" w:hAnsi="Times"/>
        </w:rPr>
        <w:t xml:space="preserve"> that we can see glimpses of </w:t>
      </w:r>
      <w:r w:rsidR="00201AF8">
        <w:rPr>
          <w:rFonts w:ascii="Times" w:hAnsi="Times"/>
        </w:rPr>
        <w:t xml:space="preserve">which </w:t>
      </w:r>
      <w:r w:rsidR="00FD099D">
        <w:rPr>
          <w:rFonts w:ascii="Times" w:hAnsi="Times"/>
        </w:rPr>
        <w:t xml:space="preserve">underlying reasons and </w:t>
      </w:r>
      <w:r w:rsidR="00201AF8">
        <w:rPr>
          <w:rFonts w:ascii="Times" w:hAnsi="Times"/>
        </w:rPr>
        <w:t xml:space="preserve">discourses influence </w:t>
      </w:r>
      <w:r w:rsidR="00FD099D">
        <w:rPr>
          <w:rFonts w:ascii="Times" w:hAnsi="Times"/>
        </w:rPr>
        <w:t>young adults</w:t>
      </w:r>
      <w:r w:rsidR="00201AF8">
        <w:rPr>
          <w:rFonts w:ascii="Times" w:hAnsi="Times"/>
        </w:rPr>
        <w:t xml:space="preserve"> to focus on grades.</w:t>
      </w:r>
      <w:r>
        <w:rPr>
          <w:rFonts w:ascii="Times" w:hAnsi="Times"/>
        </w:rPr>
        <w:t xml:space="preserve"> </w:t>
      </w:r>
      <w:r w:rsidR="00FD099D">
        <w:rPr>
          <w:rFonts w:ascii="Times" w:hAnsi="Times"/>
        </w:rPr>
        <w:t>By listening to them</w:t>
      </w:r>
      <w:r w:rsidR="00E60413">
        <w:rPr>
          <w:rFonts w:ascii="Times" w:hAnsi="Times"/>
        </w:rPr>
        <w:t xml:space="preserve">, it becomes possible to unveil the side effects of the current </w:t>
      </w:r>
      <w:r w:rsidR="004061AF">
        <w:rPr>
          <w:rFonts w:ascii="Times" w:hAnsi="Times"/>
        </w:rPr>
        <w:t>system</w:t>
      </w:r>
      <w:r w:rsidR="00E60413">
        <w:rPr>
          <w:rFonts w:ascii="Times" w:hAnsi="Times"/>
        </w:rPr>
        <w:t xml:space="preserve"> of university entry requi</w:t>
      </w:r>
      <w:r w:rsidR="00037E34">
        <w:rPr>
          <w:rFonts w:ascii="Times" w:hAnsi="Times"/>
        </w:rPr>
        <w:t>rements and admission processes, as well as the struggles neoliber</w:t>
      </w:r>
      <w:r w:rsidR="004453A1">
        <w:rPr>
          <w:rFonts w:ascii="Times" w:hAnsi="Times"/>
        </w:rPr>
        <w:t xml:space="preserve">al education has created </w:t>
      </w:r>
      <w:r w:rsidR="004453A1">
        <w:rPr>
          <w:rFonts w:ascii="Times" w:hAnsi="Times"/>
        </w:rPr>
        <w:fldChar w:fldCharType="begin" w:fldLock="1"/>
      </w:r>
      <w:r w:rsidR="00550C24">
        <w:rPr>
          <w:rFonts w:ascii="Times" w:hAnsi="Times"/>
        </w:rPr>
        <w:instrText>ADDIN CSL_CITATION { "citationItems" : [ { "id" : "ITEM-1", "itemData" : { "author" : [ { "dropping-particle" : "", "family" : "Giroux", "given" : "Henry", "non-dropping-particle" : "", "parse-names" : false, "suffix" : "" } ], "container-title" : "Harvard Educational Review", "id" : "ITEM-1", "issue" : "4", "issued" : { "date-parts" : [ [ "2002" ] ] }, "page" : "425-464", "title" : "Neoliberalism , Corporate Culture , and the Promise of Higher Education : The University as a Democratic Public Sphere", "type" : "article-journal", "volume" : "72" }, "uris" : [ "http://www.mendeley.com/documents/?uuid=185940ad-010b-422a-bb9a-b1ceb2768eda" ] } ], "mendeley" : { "formattedCitation" : "(Giroux, 2002)", "plainTextFormattedCitation" : "(Giroux, 2002)", "previouslyFormattedCitation" : "&lt;sup&gt;1&lt;/sup&gt;" }, "properties" : { "noteIndex" : 0 }, "schema" : "https://github.com/citation-style-language/schema/raw/master/csl-citation.json" }</w:instrText>
      </w:r>
      <w:r w:rsidR="004453A1">
        <w:rPr>
          <w:rFonts w:ascii="Times" w:hAnsi="Times"/>
        </w:rPr>
        <w:fldChar w:fldCharType="separate"/>
      </w:r>
      <w:r w:rsidR="00550C24" w:rsidRPr="00550C24">
        <w:rPr>
          <w:rFonts w:ascii="Times" w:hAnsi="Times"/>
          <w:noProof/>
        </w:rPr>
        <w:t>(Giroux, 2002)</w:t>
      </w:r>
      <w:r w:rsidR="004453A1">
        <w:rPr>
          <w:rFonts w:ascii="Times" w:hAnsi="Times"/>
        </w:rPr>
        <w:fldChar w:fldCharType="end"/>
      </w:r>
      <w:r w:rsidR="00903F3B">
        <w:rPr>
          <w:rFonts w:ascii="Times" w:hAnsi="Times"/>
        </w:rPr>
        <w:t>.</w:t>
      </w:r>
    </w:p>
    <w:p w14:paraId="5EF39483" w14:textId="4D27D3EE" w:rsidR="00FD099D" w:rsidRPr="00D70C2F" w:rsidRDefault="00FD099D" w:rsidP="00A316A3">
      <w:pPr>
        <w:jc w:val="both"/>
        <w:rPr>
          <w:rFonts w:ascii="Times" w:hAnsi="Times"/>
        </w:rPr>
      </w:pPr>
      <w:r>
        <w:rPr>
          <w:rFonts w:ascii="Times" w:hAnsi="Times"/>
        </w:rPr>
        <w:t xml:space="preserve">In the current education system, there is a paradox were </w:t>
      </w:r>
      <w:r w:rsidR="003B6D4B">
        <w:rPr>
          <w:rFonts w:ascii="Times" w:hAnsi="Times"/>
        </w:rPr>
        <w:t>learning is assessed through high stakes testing and used to select students, and at the same time</w:t>
      </w:r>
      <w:r w:rsidR="00D70C2F">
        <w:rPr>
          <w:rFonts w:ascii="Times" w:hAnsi="Times"/>
        </w:rPr>
        <w:t xml:space="preserve"> learning becomes student-centered with a focus on developing self-regulated learners that value learning and education </w:t>
      </w:r>
      <w:r>
        <w:rPr>
          <w:rFonts w:ascii="Times" w:hAnsi="Times"/>
        </w:rPr>
        <w:fldChar w:fldCharType="begin" w:fldLock="1"/>
      </w:r>
      <w:r>
        <w:rPr>
          <w:rFonts w:ascii="Times" w:hAnsi="Times"/>
        </w:rPr>
        <w:instrText>ADDIN CSL_CITATION { "citationItems" : [ { "id" : "ITEM-1", "itemData" : { "author" : [ { "dropping-particle" : "", "family" : "Shepard", "given" : "Lorrie A", "non-dropping-particle" : "", "parse-names" : false, "suffix" : "" } ], "container-title" : "Educational Researcher", "id" : "ITEM-1", "issue" : "7", "issued" : { "date-parts" : [ [ "2000" ] ] }, "page" : "4-14", "title" : "The Role of Assessment in a Learning Culture", "type" : "article-journal", "volume" : "29" }, "uris" : [ "http://www.mendeley.com/documents/?uuid=a38139b8-6d52-43be-bbe7-1610aee37a4d" ] } ], "mendeley" : { "formattedCitation" : "(Shepard, 2000)", "plainTextFormattedCitation" : "(Shepard, 2000)", "previouslyFormattedCitation" : "&lt;sup&gt;2&lt;/sup&gt;" }, "properties" : { "noteIndex" : 0 }, "schema" : "https://github.com/citation-style-language/schema/raw/master/csl-citation.json" }</w:instrText>
      </w:r>
      <w:r>
        <w:rPr>
          <w:rFonts w:ascii="Times" w:hAnsi="Times"/>
        </w:rPr>
        <w:fldChar w:fldCharType="separate"/>
      </w:r>
      <w:r w:rsidRPr="00550C24">
        <w:rPr>
          <w:rFonts w:ascii="Times" w:hAnsi="Times"/>
          <w:noProof/>
        </w:rPr>
        <w:t>(Shepard, 2000)</w:t>
      </w:r>
      <w:r>
        <w:rPr>
          <w:rFonts w:ascii="Times" w:hAnsi="Times"/>
        </w:rPr>
        <w:fldChar w:fldCharType="end"/>
      </w:r>
      <w:r>
        <w:rPr>
          <w:rFonts w:ascii="Times" w:hAnsi="Times"/>
        </w:rPr>
        <w:t>. Young adults are left alone to figure out how to bes</w:t>
      </w:r>
      <w:r w:rsidR="00D70C2F">
        <w:rPr>
          <w:rFonts w:ascii="Times" w:hAnsi="Times"/>
        </w:rPr>
        <w:t>t navigate through this system, and what priorities to choose</w:t>
      </w:r>
      <w:r w:rsidR="00162FD1">
        <w:rPr>
          <w:rFonts w:ascii="Times" w:hAnsi="Times"/>
        </w:rPr>
        <w:t>.</w:t>
      </w:r>
      <w:r w:rsidR="00D70C2F">
        <w:rPr>
          <w:rFonts w:ascii="Times" w:hAnsi="Times"/>
        </w:rPr>
        <w:t xml:space="preserve"> In the students’ struggles, l</w:t>
      </w:r>
      <w:r>
        <w:rPr>
          <w:rFonts w:ascii="Times" w:hAnsi="Times"/>
        </w:rPr>
        <w:t xml:space="preserve">earning opportunities are lost and </w:t>
      </w:r>
      <w:r w:rsidR="00D70C2F">
        <w:rPr>
          <w:rFonts w:ascii="Times" w:hAnsi="Times"/>
        </w:rPr>
        <w:t>the joy for learning is damaged. The</w:t>
      </w:r>
      <w:r w:rsidR="00F570E1">
        <w:rPr>
          <w:rFonts w:ascii="Times" w:hAnsi="Times"/>
        </w:rPr>
        <w:t xml:space="preserve"> education system</w:t>
      </w:r>
      <w:r w:rsidR="00903F3B">
        <w:rPr>
          <w:rFonts w:ascii="Times" w:hAnsi="Times"/>
        </w:rPr>
        <w:t xml:space="preserve"> leads students to perceive learning as a </w:t>
      </w:r>
      <w:r w:rsidR="004453A1">
        <w:rPr>
          <w:rFonts w:ascii="Times" w:hAnsi="Times"/>
        </w:rPr>
        <w:t>stepping-stone</w:t>
      </w:r>
      <w:r w:rsidR="00903F3B">
        <w:rPr>
          <w:rFonts w:ascii="Times" w:hAnsi="Times"/>
        </w:rPr>
        <w:t xml:space="preserve"> to be able to get a good job</w:t>
      </w:r>
      <w:r w:rsidR="00D70C2F">
        <w:rPr>
          <w:rFonts w:ascii="Times" w:hAnsi="Times"/>
        </w:rPr>
        <w:t>,</w:t>
      </w:r>
      <w:r w:rsidR="00903F3B">
        <w:rPr>
          <w:rFonts w:ascii="Times" w:hAnsi="Times"/>
        </w:rPr>
        <w:t xml:space="preserve"> and schools </w:t>
      </w:r>
      <w:r w:rsidR="004453A1">
        <w:rPr>
          <w:rFonts w:ascii="Times" w:hAnsi="Times"/>
        </w:rPr>
        <w:t>become</w:t>
      </w:r>
      <w:r w:rsidR="00903F3B">
        <w:rPr>
          <w:rFonts w:ascii="Times" w:hAnsi="Times"/>
        </w:rPr>
        <w:t xml:space="preserve"> a place for preparation where grades </w:t>
      </w:r>
      <w:r w:rsidR="00F570E1">
        <w:rPr>
          <w:rFonts w:ascii="Times" w:hAnsi="Times"/>
        </w:rPr>
        <w:t>are used as a selection filter</w:t>
      </w:r>
      <w:r w:rsidR="00162FD1">
        <w:rPr>
          <w:rFonts w:ascii="Times" w:hAnsi="Times"/>
        </w:rPr>
        <w:t xml:space="preserve"> </w:t>
      </w:r>
      <w:r w:rsidR="00162FD1">
        <w:rPr>
          <w:rFonts w:ascii="Times" w:hAnsi="Times"/>
        </w:rPr>
        <w:fldChar w:fldCharType="begin" w:fldLock="1"/>
      </w:r>
      <w:r w:rsidR="00162FD1">
        <w:rPr>
          <w:rFonts w:ascii="Times" w:hAnsi="Times"/>
        </w:rPr>
        <w:instrText>ADDIN CSL_CITATION { "citationItems" : [ { "id" : "ITEM-1", "itemData" : { "DOI" : "10.1023/A:1024929619223", "ISBN" : "03610365", "ISSN" : "0361-0365", "abstract" : "We examine the relationship between high school students' beliefs about the nature of knowledge, or epistemological beliefs, and their attitudes toward education. High school students completed an epistemological questionnaire assessing their beliefs in fixed ability to learn, simple knowledge, quick learning, and certain knowledge. Then they answered open-ended questions on a hypothetical character named Billy. They were to advise Billy if he should go on to college even though his grades were poor and his parents had no money. Finally, they completed questions about their own feelings toward high school and their expectations of the demands of college. Attitudes toward school were then regressed on epistemological belief factor scores. The less students believed in fixed ability to learn and quick learning, the more likely they were to encourage Billy to go to college and to appreciate the role of school in furthering their education, gaining employment, and living everyday life.", "author" : [ { "dropping-particle" : "", "family" : "Schommer", "given" : "Marlene", "non-dropping-particle" : "", "parse-names" : false, "suffix" : "" }, { "dropping-particle" : "", "family" : "Walker", "given" : "Kiersten", "non-dropping-particle" : "", "parse-names" : false, "suffix" : "" } ], "container-title" : "Research in Higher Education", "id" : "ITEM-1", "issue" : "2", "issued" : { "date-parts" : [ [ "1997" ] ] }, "page" : "173-186", "title" : "Epistemological Beliefs and Valuing School: Considerations for College Admissions and Retention", "type" : "article-journal", "volume" : "38" }, "uris" : [ "http://www.mendeley.com/documents/?uuid=b58b53c2-4bee-4f3d-a3f9-4b4c5c1937db" ] } ], "mendeley" : { "formattedCitation" : "(Schommer &amp; Walker, 1997)", "plainTextFormattedCitation" : "(Schommer &amp; Walker, 1997)", "previouslyFormattedCitation" : "&lt;sup&gt;3&lt;/sup&gt;" }, "properties" : { "noteIndex" : 0 }, "schema" : "https://github.com/citation-style-language/schema/raw/master/csl-citation.json" }</w:instrText>
      </w:r>
      <w:r w:rsidR="00162FD1">
        <w:rPr>
          <w:rFonts w:ascii="Times" w:hAnsi="Times"/>
        </w:rPr>
        <w:fldChar w:fldCharType="separate"/>
      </w:r>
      <w:r w:rsidR="00162FD1" w:rsidRPr="00550C24">
        <w:rPr>
          <w:rFonts w:ascii="Times" w:hAnsi="Times"/>
          <w:noProof/>
        </w:rPr>
        <w:t>(Schommer &amp; Walker, 1997)</w:t>
      </w:r>
      <w:r w:rsidR="00162FD1">
        <w:rPr>
          <w:rFonts w:ascii="Times" w:hAnsi="Times"/>
        </w:rPr>
        <w:fldChar w:fldCharType="end"/>
      </w:r>
      <w:r w:rsidR="00162FD1">
        <w:rPr>
          <w:rFonts w:ascii="Times" w:hAnsi="Times"/>
        </w:rPr>
        <w:t>.</w:t>
      </w:r>
    </w:p>
    <w:p w14:paraId="5FC54C95" w14:textId="77777777" w:rsidR="00982028" w:rsidRDefault="00982028" w:rsidP="00A316A3">
      <w:pPr>
        <w:jc w:val="both"/>
        <w:rPr>
          <w:rFonts w:ascii="Times" w:hAnsi="Times"/>
        </w:rPr>
      </w:pPr>
    </w:p>
    <w:p w14:paraId="62DA3106" w14:textId="03495872" w:rsidR="00550C24" w:rsidRPr="00550C24" w:rsidRDefault="00834581" w:rsidP="00550C24">
      <w:pPr>
        <w:widowControl w:val="0"/>
        <w:autoSpaceDE w:val="0"/>
        <w:autoSpaceDN w:val="0"/>
        <w:adjustRightInd w:val="0"/>
        <w:ind w:left="480" w:hanging="480"/>
        <w:rPr>
          <w:rFonts w:ascii="Times" w:hAnsi="Times"/>
          <w:noProof/>
          <w:sz w:val="20"/>
        </w:rPr>
      </w:pPr>
      <w:r w:rsidRPr="00834581">
        <w:rPr>
          <w:rFonts w:ascii="Times" w:hAnsi="Times"/>
          <w:sz w:val="20"/>
          <w:szCs w:val="20"/>
        </w:rPr>
        <w:fldChar w:fldCharType="begin" w:fldLock="1"/>
      </w:r>
      <w:r w:rsidRPr="00834581">
        <w:rPr>
          <w:rFonts w:ascii="Times" w:hAnsi="Times"/>
          <w:sz w:val="20"/>
          <w:szCs w:val="20"/>
        </w:rPr>
        <w:instrText xml:space="preserve">ADDIN Mendeley Bibliography CSL_BIBLIOGRAPHY </w:instrText>
      </w:r>
      <w:r w:rsidRPr="00834581">
        <w:rPr>
          <w:rFonts w:ascii="Times" w:hAnsi="Times"/>
          <w:sz w:val="20"/>
          <w:szCs w:val="20"/>
        </w:rPr>
        <w:fldChar w:fldCharType="separate"/>
      </w:r>
      <w:r w:rsidR="00550C24" w:rsidRPr="00550C24">
        <w:rPr>
          <w:rFonts w:ascii="Times" w:hAnsi="Times"/>
          <w:noProof/>
          <w:sz w:val="20"/>
        </w:rPr>
        <w:t>Giroux, H. (2002). Neoliberalism , Corporate Culture , and the Promise of Higher Education</w:t>
      </w:r>
      <w:r w:rsidR="00550C24" w:rsidRPr="00550C24">
        <w:rPr>
          <w:rFonts w:ascii="Monaco" w:hAnsi="Monaco" w:cs="Monaco"/>
          <w:noProof/>
          <w:sz w:val="20"/>
        </w:rPr>
        <w:t> </w:t>
      </w:r>
      <w:r w:rsidR="00550C24" w:rsidRPr="00550C24">
        <w:rPr>
          <w:rFonts w:ascii="Times" w:hAnsi="Times"/>
          <w:noProof/>
          <w:sz w:val="20"/>
        </w:rPr>
        <w:t xml:space="preserve">: The University as a Democratic Public Sphere. </w:t>
      </w:r>
      <w:r w:rsidR="00550C24" w:rsidRPr="00550C24">
        <w:rPr>
          <w:rFonts w:ascii="Times" w:hAnsi="Times"/>
          <w:i/>
          <w:iCs/>
          <w:noProof/>
          <w:sz w:val="20"/>
        </w:rPr>
        <w:t>Harvard Educational Review</w:t>
      </w:r>
      <w:r w:rsidR="00550C24" w:rsidRPr="00550C24">
        <w:rPr>
          <w:rFonts w:ascii="Times" w:hAnsi="Times"/>
          <w:noProof/>
          <w:sz w:val="20"/>
        </w:rPr>
        <w:t xml:space="preserve">, </w:t>
      </w:r>
      <w:r w:rsidR="00550C24" w:rsidRPr="00550C24">
        <w:rPr>
          <w:rFonts w:ascii="Times" w:hAnsi="Times"/>
          <w:i/>
          <w:iCs/>
          <w:noProof/>
          <w:sz w:val="20"/>
        </w:rPr>
        <w:t>72</w:t>
      </w:r>
      <w:r w:rsidR="00550C24" w:rsidRPr="00550C24">
        <w:rPr>
          <w:rFonts w:ascii="Times" w:hAnsi="Times"/>
          <w:noProof/>
          <w:sz w:val="20"/>
        </w:rPr>
        <w:t>(4), 425–464.</w:t>
      </w:r>
    </w:p>
    <w:p w14:paraId="6797ACC9" w14:textId="77777777" w:rsidR="00550C24" w:rsidRPr="00550C24" w:rsidRDefault="00550C24" w:rsidP="00550C24">
      <w:pPr>
        <w:widowControl w:val="0"/>
        <w:autoSpaceDE w:val="0"/>
        <w:autoSpaceDN w:val="0"/>
        <w:adjustRightInd w:val="0"/>
        <w:ind w:left="480" w:hanging="480"/>
        <w:rPr>
          <w:rFonts w:ascii="Times" w:hAnsi="Times"/>
          <w:noProof/>
          <w:sz w:val="20"/>
        </w:rPr>
      </w:pPr>
      <w:r w:rsidRPr="00550C24">
        <w:rPr>
          <w:rFonts w:ascii="Times" w:hAnsi="Times"/>
          <w:noProof/>
          <w:sz w:val="20"/>
        </w:rPr>
        <w:t xml:space="preserve">Schommer, M., &amp; Walker, K. (1997). Epistemological Beliefs and Valuing School: Considerations for College Admissions and Retention. </w:t>
      </w:r>
      <w:r w:rsidRPr="00550C24">
        <w:rPr>
          <w:rFonts w:ascii="Times" w:hAnsi="Times"/>
          <w:i/>
          <w:iCs/>
          <w:noProof/>
          <w:sz w:val="20"/>
        </w:rPr>
        <w:t>Research in Higher Education</w:t>
      </w:r>
      <w:r w:rsidRPr="00550C24">
        <w:rPr>
          <w:rFonts w:ascii="Times" w:hAnsi="Times"/>
          <w:noProof/>
          <w:sz w:val="20"/>
        </w:rPr>
        <w:t xml:space="preserve">, </w:t>
      </w:r>
      <w:r w:rsidRPr="00550C24">
        <w:rPr>
          <w:rFonts w:ascii="Times" w:hAnsi="Times"/>
          <w:i/>
          <w:iCs/>
          <w:noProof/>
          <w:sz w:val="20"/>
        </w:rPr>
        <w:t>38</w:t>
      </w:r>
      <w:r w:rsidRPr="00550C24">
        <w:rPr>
          <w:rFonts w:ascii="Times" w:hAnsi="Times"/>
          <w:noProof/>
          <w:sz w:val="20"/>
        </w:rPr>
        <w:t>(2), 173–186.</w:t>
      </w:r>
    </w:p>
    <w:p w14:paraId="40CC93A8" w14:textId="77777777" w:rsidR="00550C24" w:rsidRPr="00550C24" w:rsidRDefault="00550C24" w:rsidP="00550C24">
      <w:pPr>
        <w:widowControl w:val="0"/>
        <w:autoSpaceDE w:val="0"/>
        <w:autoSpaceDN w:val="0"/>
        <w:adjustRightInd w:val="0"/>
        <w:ind w:left="480" w:hanging="480"/>
        <w:rPr>
          <w:rFonts w:ascii="Times" w:hAnsi="Times"/>
          <w:noProof/>
          <w:sz w:val="20"/>
        </w:rPr>
      </w:pPr>
      <w:r w:rsidRPr="00550C24">
        <w:rPr>
          <w:rFonts w:ascii="Times" w:hAnsi="Times"/>
          <w:noProof/>
          <w:sz w:val="20"/>
        </w:rPr>
        <w:t xml:space="preserve">Shepard, L. A. (2000). The Role of Assessment in a Learning Culture. </w:t>
      </w:r>
      <w:r w:rsidRPr="00550C24">
        <w:rPr>
          <w:rFonts w:ascii="Times" w:hAnsi="Times"/>
          <w:i/>
          <w:iCs/>
          <w:noProof/>
          <w:sz w:val="20"/>
        </w:rPr>
        <w:t>Educational Researcher</w:t>
      </w:r>
      <w:r w:rsidRPr="00550C24">
        <w:rPr>
          <w:rFonts w:ascii="Times" w:hAnsi="Times"/>
          <w:noProof/>
          <w:sz w:val="20"/>
        </w:rPr>
        <w:t xml:space="preserve">, </w:t>
      </w:r>
      <w:r w:rsidRPr="00550C24">
        <w:rPr>
          <w:rFonts w:ascii="Times" w:hAnsi="Times"/>
          <w:i/>
          <w:iCs/>
          <w:noProof/>
          <w:sz w:val="20"/>
        </w:rPr>
        <w:t>29</w:t>
      </w:r>
      <w:r w:rsidRPr="00550C24">
        <w:rPr>
          <w:rFonts w:ascii="Times" w:hAnsi="Times"/>
          <w:noProof/>
          <w:sz w:val="20"/>
        </w:rPr>
        <w:t>(7), 4–14.</w:t>
      </w:r>
    </w:p>
    <w:p w14:paraId="3BCC534E" w14:textId="3F7CC110" w:rsidR="004453A1" w:rsidRDefault="00834581" w:rsidP="00550C24">
      <w:pPr>
        <w:widowControl w:val="0"/>
        <w:autoSpaceDE w:val="0"/>
        <w:autoSpaceDN w:val="0"/>
        <w:adjustRightInd w:val="0"/>
        <w:ind w:left="640" w:hanging="640"/>
        <w:rPr>
          <w:rFonts w:ascii="Times" w:hAnsi="Times"/>
          <w:sz w:val="20"/>
          <w:szCs w:val="20"/>
        </w:rPr>
      </w:pPr>
      <w:r w:rsidRPr="00834581">
        <w:rPr>
          <w:rFonts w:ascii="Times" w:hAnsi="Times"/>
          <w:sz w:val="20"/>
          <w:szCs w:val="20"/>
        </w:rPr>
        <w:fldChar w:fldCharType="end"/>
      </w:r>
    </w:p>
    <w:p w14:paraId="649B2976" w14:textId="77777777" w:rsidR="00F570E1" w:rsidRDefault="00F570E1" w:rsidP="00A316A3">
      <w:pPr>
        <w:jc w:val="both"/>
        <w:rPr>
          <w:rFonts w:ascii="Times" w:hAnsi="Times"/>
          <w:sz w:val="20"/>
          <w:szCs w:val="20"/>
        </w:rPr>
      </w:pPr>
    </w:p>
    <w:sectPr w:rsidR="00F570E1" w:rsidSect="00982028">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A3"/>
    <w:rsid w:val="00037E34"/>
    <w:rsid w:val="000448E1"/>
    <w:rsid w:val="00162FD1"/>
    <w:rsid w:val="001B1642"/>
    <w:rsid w:val="00201AF8"/>
    <w:rsid w:val="00234EFA"/>
    <w:rsid w:val="002C0309"/>
    <w:rsid w:val="002C204F"/>
    <w:rsid w:val="002E6300"/>
    <w:rsid w:val="003B6D4B"/>
    <w:rsid w:val="003D0875"/>
    <w:rsid w:val="004061AF"/>
    <w:rsid w:val="004453A1"/>
    <w:rsid w:val="00493707"/>
    <w:rsid w:val="00550C24"/>
    <w:rsid w:val="0058055C"/>
    <w:rsid w:val="005B5389"/>
    <w:rsid w:val="005B5577"/>
    <w:rsid w:val="005D7D1C"/>
    <w:rsid w:val="00603B47"/>
    <w:rsid w:val="0062633D"/>
    <w:rsid w:val="006E3031"/>
    <w:rsid w:val="006F6715"/>
    <w:rsid w:val="008150AA"/>
    <w:rsid w:val="00834581"/>
    <w:rsid w:val="00880DCF"/>
    <w:rsid w:val="008F0568"/>
    <w:rsid w:val="00903F3B"/>
    <w:rsid w:val="00982028"/>
    <w:rsid w:val="009B7A3F"/>
    <w:rsid w:val="009D08A3"/>
    <w:rsid w:val="00A316A3"/>
    <w:rsid w:val="00A76A87"/>
    <w:rsid w:val="00B24BD6"/>
    <w:rsid w:val="00B50937"/>
    <w:rsid w:val="00BD7B0F"/>
    <w:rsid w:val="00CF25F7"/>
    <w:rsid w:val="00D33B09"/>
    <w:rsid w:val="00D36153"/>
    <w:rsid w:val="00D70C2F"/>
    <w:rsid w:val="00DF7436"/>
    <w:rsid w:val="00E42633"/>
    <w:rsid w:val="00E42EB3"/>
    <w:rsid w:val="00E60413"/>
    <w:rsid w:val="00EB1F2A"/>
    <w:rsid w:val="00EF151B"/>
    <w:rsid w:val="00F570E1"/>
    <w:rsid w:val="00F71E49"/>
    <w:rsid w:val="00FD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D9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309"/>
    <w:pPr>
      <w:spacing w:after="12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1157</Words>
  <Characters>5893</Characters>
  <Application>Microsoft Macintosh Word</Application>
  <DocSecurity>0</DocSecurity>
  <Lines>96</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4</cp:revision>
  <cp:lastPrinted>2016-10-06T08:07:00Z</cp:lastPrinted>
  <dcterms:created xsi:type="dcterms:W3CDTF">2016-10-07T11:41:00Z</dcterms:created>
  <dcterms:modified xsi:type="dcterms:W3CDTF">2016-10-19T19:19:00Z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e406dee6-ae09-3522-b4c6-748230fc2ef4</vt:lpwstr>
  </property>
  <property fmtid="{D5CDD505-2E9C-101B-9397-08002B2CF9AE}" pid="4" name="Mendeley Citation Style_1">
    <vt:lpwstr>http://csl.mendeley.com/styles/17653/apa-2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http://csl.mendeley.com/styles/17653/apa</vt:lpwstr>
  </property>
  <property fmtid="{D5CDD505-2E9C-101B-9397-08002B2CF9AE}" pid="12" name="Mendeley Recent Style Name 3_1">
    <vt:lpwstr>American Psychological Association 6th edition - Patric Wallin</vt:lpwstr>
  </property>
  <property fmtid="{D5CDD505-2E9C-101B-9397-08002B2CF9AE}" pid="13" name="Mendeley Recent Style Id 4_1">
    <vt:lpwstr>http://csl.mendeley.com/styles/17653/apa-2</vt:lpwstr>
  </property>
  <property fmtid="{D5CDD505-2E9C-101B-9397-08002B2CF9AE}" pid="14" name="Mendeley Recent Style Name 4_1">
    <vt:lpwstr>American Psychological Association 6th edition - without DOI</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