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rFonts w:ascii="Times New Roman" w:cs="Times New Roman" w:hAnsi="Times New Roman" w:eastAsia="Times New Roman"/>
          <w:b w:val="1"/>
          <w:bCs w:val="1"/>
          <w:sz w:val="28"/>
          <w:szCs w:val="28"/>
          <w:u w:val="single"/>
        </w:rPr>
      </w:pPr>
      <w:r>
        <w:rPr>
          <w:rFonts w:ascii="Times New Roman" w:hAnsi="Times New Roman"/>
          <w:b w:val="1"/>
          <w:bCs w:val="1"/>
          <w:sz w:val="28"/>
          <w:szCs w:val="28"/>
          <w:rtl w:val="0"/>
          <w:lang w:val="en-US"/>
        </w:rPr>
        <w:t>Dominant discourses within an alternative education setting: the use of fictionalised autoethnography as a method for teachers to express personal voice, share experiences and develop as an adult learner within an academic thesis</w:t>
      </w:r>
    </w:p>
    <w:p>
      <w:pPr>
        <w:pStyle w:val="Body A"/>
        <w:spacing w:line="480" w:lineRule="auto"/>
        <w:rPr>
          <w:rFonts w:ascii="Times New Roman" w:cs="Times New Roman" w:hAnsi="Times New Roman" w:eastAsia="Times New Roman"/>
          <w:b w:val="1"/>
          <w:bCs w:val="1"/>
          <w:sz w:val="24"/>
          <w:szCs w:val="24"/>
          <w:u w:val="single"/>
        </w:rPr>
      </w:pP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My thesis initially focused on how it could be possible to illicit the authentic pupil voice of young Special Educational Needs (SEN) learners educated in an alternative education setting. However as my research progressed the focus shifted to encompass my own learning journey both as a teacher of SEN learners and as a teacher and emerging academic.</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 work in a unique type of alternative education setting within the UK education system as I teach young people who have been permanently excluded from school, meaning that they are not allowed to return to the school that they have left, often for acts of violence and aggression. These establishment are known as Pupil Referral Units (PRUs) although this term is increasingly falling into disuse as many, including my own setting, prefer to style themselves in a more positive manner using the PRU title as a means of explaining their function rather than as their own own self description.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 my current role, I work across the entire age range of the provision which caters for children aged 5 - 16.  However the young children I primarily worked with during my thesis research were aged between 5 and 9 and included a range of SEN needs including social, emotional and communication needs.  Many were also working at an academic level significantly below their peers and had often missed large periods of time away from school due to their behaviour.</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Initially my thesis was very pupil centred with a focus on trying to understand their perspectives and views of permanent exclusion with questions relating to how authentic voice could be found and which methods were useful in supporting SEN learners to share or record their voice for others.  During this stage, I found that so many thoughts occurred, or events happened that I wanted to record, that having a notebook easily accessible was an advantage.  This paper discusses the development of my notepad into a journal which ultimately led to a change in thesis direction to include a focus on teacher voice and my own learning experiences shared through autoethnography.  Through this later stage of my research, I began to hear the plurality of identities and voices recorded in my journals, those of myself as teacher, myself as academic and my own personal thoughts. Ultimately I realised that autoethnographic accounts allowed an insider perspective to be heard, specifically that of a teacher learning not only about her pupils but of herself as a professional.</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dominant discourses in the current UK education system</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Before moving onto discussing lifelong learning within the context of teaching, I would like to situate my own learning experiences within the context of the education system that I work within and the current dominant discourses.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focus of the majority of discourses in the UK education system,  at a macro and micro levels, are discourses of power.  This can be seen within the adult learning of teacher training whereby Britzman </w:t>
      </w:r>
      <w:r>
        <w:rPr>
          <w:rFonts w:ascii="Times New Roman" w:cs="Times New Roman" w:hAnsi="Times New Roman" w:eastAsia="Times New Roman"/>
          <w:sz w:val="24"/>
          <w:szCs w:val="24"/>
          <w:lang w:val="de-DE"/>
        </w:rPr>
        <w:fldChar w:fldCharType="begin" w:fldLock="0"/>
      </w:r>
      <w:r>
        <w:rPr>
          <w:rFonts w:ascii="Times New Roman" w:cs="Times New Roman" w:hAnsi="Times New Roman" w:eastAsia="Times New Roman"/>
          <w:sz w:val="24"/>
          <w:szCs w:val="24"/>
          <w:lang w:val="de-DE"/>
        </w:rPr>
        <w:instrText xml:space="preserve"> ADDIN EN.CITE &lt;EndNote&gt;&lt;Cite  &gt;&lt;Author&gt;Deborah Britzman&lt;/Author&gt;&lt;Year&gt;1986&lt;/Year&gt;&lt;RecNum&gt;726&lt;/RecNum&gt;&lt;DisplayText&gt;(Britzman, 1986)&lt;/DisplayText&gt;&lt;record&gt;&lt;database name="March 16.enl" path="/Users/helenwoodley1/Desktop/Endnote/March 16.enlp/March 16.enl"&gt;March 16.enl&lt;/database&gt;&lt;source-app name="EndNote" version="17.5"&gt;EndNote&lt;/source-app&gt;&lt;rec-number&gt;726&lt;/rec-number&gt;&lt;foreign-keys&gt;&lt;key app="EN" db-id="rsf955dd0z50eteweaxp52dgts99xtt925e9"&gt;726&lt;/key&gt;&lt;/foreign-keys&gt;&lt;ref-type name="Journal Article"&gt;17&lt;/ref-type&gt;&lt;contributors&gt;&lt;authors&gt;&lt;author&gt;&lt;style face="normal" font="default" size="100%"&gt;Deborah Britzman&lt;/style&gt;&lt;/author&gt;&lt;/authors&gt;&lt;/contributors&gt;&lt;titles&gt;&lt;title&gt;&lt;style face="normal" font="default" size="100%"&gt;Cultural Myths in the Making of a Teacher: Biography and Social Structure in Teacher Education&lt;/style&gt;&lt;/title&gt;&lt;secondary-title&gt;&lt;style face="normal" font="default" size="100%"&gt;Harvard Educational Review&lt;/style&gt;&lt;/secondary-title&gt;&lt;/titles&gt;&lt;periodical&gt;&lt;full-title&gt;&lt;style face="normal" font="default" size="100%"&gt;Harvard educational review&lt;/style&gt;&lt;/full-title&gt;&lt;/periodical&gt;&lt;pages&gt;&lt;style face="normal" font="default" size="100%"&gt;442-457&lt;/style&gt;&lt;/pages&gt;&lt;volume&gt;&lt;style face="normal" font="default" size="100%"&gt;56&lt;/style&gt;&lt;/volume&gt;&lt;number&gt;&lt;style face="normal" font="default" size="100%"&gt;4&lt;/style&gt;&lt;/number&gt;&lt;dates&gt;&lt;year&gt;&lt;style face="normal" font="default" size="100%"&gt;1986&lt;/style&gt;&lt;/year&gt;&lt;/dates&gt;&lt;urls&gt;&lt;related-urls&gt;&lt;url&gt;&lt;style face="normal" font="default" size="100%"&gt;http://www.hepgjournals.org/doi/abs/10.17763/haer.56.4.mv28227614l44u66&lt;/style&gt;&lt;/url&gt;&lt;/related-urls&gt;&lt;/urls&gt;&lt;electronic-resource-num&gt;&lt;style face="normal" font="default" size="100%"&gt;10.17763/haer.56.4.mv28227614l44u66&lt;/style&gt;&lt;/electronic-resource-num&gt;&lt;/record&gt;&lt;/Cite&gt;&lt;/EndNote&gt;</w:instrText>
      </w:r>
      <w:r>
        <w:rPr>
          <w:rFonts w:ascii="Times New Roman" w:cs="Times New Roman" w:hAnsi="Times New Roman" w:eastAsia="Times New Roman"/>
          <w:sz w:val="24"/>
          <w:szCs w:val="24"/>
          <w:lang w:val="de-DE"/>
        </w:rPr>
        <w:fldChar w:fldCharType="separate" w:fldLock="0"/>
      </w:r>
      <w:r>
        <w:rPr>
          <w:rFonts w:ascii="Times New Roman" w:hAnsi="Times New Roman"/>
          <w:sz w:val="24"/>
          <w:szCs w:val="24"/>
          <w:rtl w:val="0"/>
          <w:lang w:val="de-DE"/>
        </w:rPr>
        <w:t>(Britzman, 1986)</w:t>
      </w:r>
      <w:r>
        <w:rPr>
          <w:rFonts w:ascii="Times New Roman" w:cs="Times New Roman" w:hAnsi="Times New Roman" w:eastAsia="Times New Roman"/>
          <w:sz w:val="24"/>
          <w:szCs w:val="24"/>
          <w:lang w:val="de-DE"/>
        </w:rPr>
        <w:fldChar w:fldCharType="end" w:fldLock="0"/>
      </w:r>
      <w:r>
        <w:rPr>
          <w:rFonts w:ascii="Times New Roman" w:hAnsi="Times New Roman"/>
          <w:sz w:val="24"/>
          <w:szCs w:val="24"/>
          <w:rtl w:val="0"/>
          <w:lang w:val="en-US"/>
        </w:rPr>
        <w:t xml:space="preserve"> discusses how cultural educational myths are taught to trainee teachers leading to a reproduction of such ideas in their classroom practice.  This led to cultural differences between pupils and teachers </w:t>
      </w:r>
      <w:r>
        <w:rPr>
          <w:rFonts w:ascii="Times New Roman" w:cs="Times New Roman" w:hAnsi="Times New Roman" w:eastAsia="Times New Roman"/>
          <w:sz w:val="24"/>
          <w:szCs w:val="24"/>
          <w:lang w:val="it-IT"/>
        </w:rPr>
        <w:fldChar w:fldCharType="begin" w:fldLock="0"/>
      </w:r>
      <w:r>
        <w:rPr>
          <w:rFonts w:ascii="Times New Roman" w:cs="Times New Roman" w:hAnsi="Times New Roman" w:eastAsia="Times New Roman"/>
          <w:sz w:val="24"/>
          <w:szCs w:val="24"/>
          <w:lang w:val="it-IT"/>
        </w:rPr>
        <w:instrText xml:space="preserve"> ADDIN EN.CITE &lt;EndNote&gt;&lt;Cite  &gt;&lt;Author&gt;Delpit, Lisa&lt;/Author&gt;&lt;Year&gt;1988&lt;/Year&gt;&lt;RecNum&gt;587&lt;/RecNum&gt;&lt;DisplayText&gt;(Delpit, 1988)&lt;/DisplayText&gt;&lt;record&gt;&lt;database name="March 16.enl" path="/Users/helenwoodley1/Desktop/Endnote/March 16.enlp/March 16.enl"&gt;March 16.enl&lt;/database&gt;&lt;source-app name="EndNote" version="17.5"&gt;EndNote&lt;/source-app&gt;&lt;rec-number&gt;587&lt;/rec-number&gt;&lt;foreign-keys&gt;&lt;key app="EN" db-id="rsf955dd0z50eteweaxp52dgts99xtt925e9"&gt;587&lt;/key&gt;&lt;/foreign-keys&gt;&lt;ref-type name="Journal Article"&gt;17&lt;/ref-type&gt;&lt;contributors&gt;&lt;authors&gt;&lt;author&gt;&lt;style face="normal" font="default" size="100%"&gt;Delpit, Lisa&lt;/style&gt;&lt;/author&gt;&lt;/authors&gt;&lt;/contributors&gt;&lt;titles&gt;&lt;title&gt;&lt;style face="normal" font="default" size="100%"&gt;The silenced dialogue: Power and pedagogy in educating other people's children&lt;/style&gt;&lt;/title&gt;&lt;secondary-title&gt;&lt;style face="normal" font="default" size="100%"&gt;Harvard educational review&lt;/style&gt;&lt;/secondary-title&gt;&lt;/titles&gt;&lt;periodical&gt;&lt;full-title&gt;&lt;style face="normal" font="default" size="100%"&gt;Harvard educational review&lt;/style&gt;&lt;/full-title&gt;&lt;/periodical&gt;&lt;pages&gt;&lt;style face="normal" font="default" size="100%"&gt;280-299&lt;/style&gt;&lt;/pages&gt;&lt;volume&gt;&lt;style face="normal" font="default" size="100%"&gt;58&lt;/style&gt;&lt;/volume&gt;&lt;number&gt;&lt;style face="normal" font="default" size="100%"&gt;3&lt;/style&gt;&lt;/number&gt;&lt;dates&gt;&lt;year&gt;&lt;style face="normal" font="default" size="100%"&gt;1988&lt;/style&gt;&lt;/year&gt;&lt;/dates&gt;&lt;isbn&gt;&lt;style face="normal" font="default" size="100%"&gt;0017-8055&lt;/style&gt;&lt;/isbn&gt;&lt;urls/&gt;&lt;/record&gt;&lt;/Cite&gt;&lt;/EndNote&gt;</w:instrText>
      </w:r>
      <w:r>
        <w:rPr>
          <w:rFonts w:ascii="Times New Roman" w:cs="Times New Roman" w:hAnsi="Times New Roman" w:eastAsia="Times New Roman"/>
          <w:sz w:val="24"/>
          <w:szCs w:val="24"/>
          <w:lang w:val="it-IT"/>
        </w:rPr>
        <w:fldChar w:fldCharType="separate" w:fldLock="0"/>
      </w:r>
      <w:r>
        <w:rPr>
          <w:rFonts w:ascii="Times New Roman" w:hAnsi="Times New Roman"/>
          <w:sz w:val="24"/>
          <w:szCs w:val="24"/>
          <w:rtl w:val="0"/>
          <w:lang w:val="it-IT"/>
        </w:rPr>
        <w:t>(Delpit, 1988)</w:t>
      </w:r>
      <w:r>
        <w:rPr>
          <w:rFonts w:ascii="Times New Roman" w:cs="Times New Roman" w:hAnsi="Times New Roman" w:eastAsia="Times New Roman"/>
          <w:sz w:val="24"/>
          <w:szCs w:val="24"/>
          <w:lang w:val="it-IT"/>
        </w:rPr>
        <w:fldChar w:fldCharType="end" w:fldLock="0"/>
      </w:r>
      <w:r>
        <w:rPr>
          <w:rFonts w:ascii="Times New Roman" w:hAnsi="Times New Roman"/>
          <w:sz w:val="24"/>
          <w:szCs w:val="24"/>
          <w:rtl w:val="0"/>
          <w:lang w:val="en-US"/>
        </w:rPr>
        <w:t>, a lasting impact on pupils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lives </w:t>
      </w:r>
      <w:r>
        <w:rPr>
          <w:rFonts w:ascii="Times New Roman" w:cs="Times New Roman" w:hAnsi="Times New Roman" w:eastAsia="Times New Roman"/>
          <w:sz w:val="24"/>
          <w:szCs w:val="24"/>
          <w:lang w:val="it-IT"/>
        </w:rPr>
        <w:fldChar w:fldCharType="begin" w:fldLock="0"/>
      </w:r>
      <w:r>
        <w:rPr>
          <w:rFonts w:ascii="Times New Roman" w:cs="Times New Roman" w:hAnsi="Times New Roman" w:eastAsia="Times New Roman"/>
          <w:sz w:val="24"/>
          <w:szCs w:val="24"/>
          <w:lang w:val="it-IT"/>
        </w:rPr>
        <w:instrText xml:space="preserve"> ADDIN EN.CITE &lt;EndNote&gt;&lt;Cite  &gt;&lt;Author&gt;Uitto, Minna; Syrjälä, Leena&lt;/Author&gt;&lt;Year&gt;2008&lt;/Year&gt;&lt;DisplayText&gt;(Uitto and Syrjälä, 2008)&lt;/DisplayText&gt;&lt;record&gt;&lt;database name="March 16.enl" path="/Users/helenwoodley1/Desktop/Endnote/March 16.enlp/March 16.enl"&gt;March 16.enl&lt;/database&gt;&lt;source-app name="EndNote" version="17.5"&gt;EndNote&lt;/source-app&gt;&lt;rec-number&gt;351&lt;/rec-number&gt;&lt;foreign-keys&gt;&lt;key app="EN" db-id="rsf955dd0z50eteweaxp52dgts99xtt925e9"&gt;351&lt;/key&gt;&lt;/foreign-keys&gt;&lt;ref-type name="Journal Article"&gt;17&lt;/ref-type&gt;&lt;contributors&gt;&lt;authors&gt;&lt;author&gt;&lt;style face="normal" font="default" size="100%"&gt;Uitto, Minna&lt;/style&gt;&lt;/author&gt;&lt;author&gt;&lt;style face="normal" font="default" size="100%"&gt;Syrjälä, Leena&lt;/style&gt;&lt;/author&gt;&lt;/authors&gt;&lt;/contributors&gt;&lt;titles&gt;&lt;title&gt;&lt;style face="normal" font="default" size="100%"&gt;Body, Caring and Power in Teacher–Pupil Relationships: Encounters in former pupils' memories&lt;/style&gt;&lt;/title&gt;&lt;secondary-title&gt;&lt;style face="normal" font="default" size="100%"&gt;Scandinavian Journal of Educational Research&lt;/style&gt;&lt;/secondary-title&gt;&lt;/titles&gt;&lt;periodical&gt;&lt;full-title&gt;&lt;style face="normal" font="default" size="100%"&gt;Scandinavian Journal of Educational Research&lt;/style&gt;&lt;/full-title&gt;&lt;/periodical&gt;&lt;pages&gt;&lt;style face="normal" font="default" size="100%"&gt;355-371&lt;/style&gt;&lt;/pages&gt;&lt;volume&gt;&lt;style face="normal" font="default" size="100%"&gt;52&lt;/style&gt;&lt;/volume&gt;&lt;number&gt;&lt;style face="normal" font="default" size="100%"&gt;4&lt;/style&gt;&lt;/number&gt;&lt;dates&gt;&lt;year&gt;&lt;style face="normal" font="default" size="100%"&gt;2008&lt;/style&gt;&lt;/year&gt;&lt;/dates&gt;&lt;isbn&gt;&lt;style face="normal" font="default" size="100%"&gt;0031-38311470-1170&lt;/style&gt;&lt;/isbn&gt;&lt;urls&gt;&lt;pdf-urls&gt;&lt;url&gt;internal-pdf://1371130116/00313830802184517.pdf&lt;/url&gt;&lt;/pdf-urls&gt;&lt;/urls&gt;&lt;electronic-resource-num&gt;&lt;style face="normal" font="default" size="100%"&gt;10.1080/00313830802184517&lt;/style&gt;&lt;/electronic-resource-num&gt;&lt;/record&gt;&lt;/Cite&gt;&lt;/EndNote&gt;</w:instrText>
      </w:r>
      <w:r>
        <w:rPr>
          <w:rFonts w:ascii="Times New Roman" w:cs="Times New Roman" w:hAnsi="Times New Roman" w:eastAsia="Times New Roman"/>
          <w:sz w:val="24"/>
          <w:szCs w:val="24"/>
          <w:lang w:val="it-IT"/>
        </w:rPr>
        <w:fldChar w:fldCharType="separate" w:fldLock="0"/>
      </w:r>
      <w:r>
        <w:rPr>
          <w:rFonts w:ascii="Times New Roman" w:hAnsi="Times New Roman"/>
          <w:sz w:val="24"/>
          <w:szCs w:val="24"/>
          <w:rtl w:val="0"/>
          <w:lang w:val="it-IT"/>
        </w:rPr>
        <w:t>(Uitto and Syrjälä, 2008)</w:t>
      </w:r>
      <w:r>
        <w:rPr>
          <w:rFonts w:ascii="Times New Roman" w:cs="Times New Roman" w:hAnsi="Times New Roman" w:eastAsia="Times New Roman"/>
          <w:sz w:val="24"/>
          <w:szCs w:val="24"/>
          <w:lang w:val="it-IT"/>
        </w:rPr>
        <w:fldChar w:fldCharType="end" w:fldLock="0"/>
      </w:r>
      <w:r>
        <w:rPr>
          <w:rFonts w:ascii="Times New Roman" w:hAnsi="Times New Roman"/>
          <w:sz w:val="24"/>
          <w:szCs w:val="24"/>
          <w:rtl w:val="0"/>
          <w:lang w:val="en-US"/>
        </w:rPr>
        <w:t xml:space="preserve"> and an impact on teachers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understanding of their own identities </w:t>
      </w:r>
      <w:r>
        <w:rPr>
          <w:rFonts w:ascii="Times New Roman" w:cs="Times New Roman" w:hAnsi="Times New Roman" w:eastAsia="Times New Roman"/>
          <w:sz w:val="24"/>
          <w:szCs w:val="24"/>
          <w:lang w:val="de-DE"/>
        </w:rPr>
        <w:fldChar w:fldCharType="begin" w:fldLock="0"/>
      </w:r>
      <w:r>
        <w:rPr>
          <w:rFonts w:ascii="Times New Roman" w:cs="Times New Roman" w:hAnsi="Times New Roman" w:eastAsia="Times New Roman"/>
          <w:sz w:val="24"/>
          <w:szCs w:val="24"/>
          <w:lang w:val="de-DE"/>
        </w:rPr>
        <w:instrText xml:space="preserve"> ADDIN EN.CITE &lt;EndNote&gt;&lt;Cite  &gt;&lt;Author&gt;Sachs, Judyth&lt;/Author&gt;&lt;Year&gt;2001&lt;/Year&gt;&lt;RecNum&gt;711&lt;/RecNum&gt;&lt;DisplayText&gt;(Sachs, 2001)&lt;/DisplayText&gt;&lt;record&gt;&lt;database name="March 16.enl" path="/Users/helenwoodley1/Desktop/Endnote/March 16.enlp/March 16.enl"&gt;March 16.enl&lt;/database&gt;&lt;source-app name="EndNote" version="17.5"&gt;EndNote&lt;/source-app&gt;&lt;rec-number&gt;711&lt;/rec-number&gt;&lt;foreign-keys&gt;&lt;key app="EN" db-id="rsf955dd0z50eteweaxp52dgts99xtt925e9"&gt;711&lt;/key&gt;&lt;key app="ENWeb" db-id=""&gt;0&lt;/key&gt;&lt;/foreign-keys&gt;&lt;ref-type name="Journal Article"&gt;17&lt;/ref-type&gt;&lt;contributors&gt;&lt;authors&gt;&lt;author&gt;&lt;style face="normal" font="default" size="100%"&gt;Sachs, Judyth&lt;/style&gt;&lt;/author&gt;&lt;/authors&gt;&lt;/contributors&gt;&lt;titles&gt;&lt;title&gt;&lt;style face="normal" font="default" size="100%"&gt;Teacher professional identity: competing discourses, competing outcomes&lt;/style&gt;&lt;/title&gt;&lt;secondary-title&gt;&lt;style face="normal" font="default" size="100%"&gt;Journal of Education Policy&lt;/style&gt;&lt;/secondary-title&gt;&lt;/titles&gt;&lt;periodical&gt;&lt;full-title&gt;&lt;style face="normal" font="default" size="100%"&gt;Journal of Education Policy&lt;/style&gt;&lt;/full-title&gt;&lt;/periodical&gt;&lt;pages&gt;&lt;style face="normal" font="default" size="100%"&gt;149-161&lt;/style&gt;&lt;/pages&gt;&lt;volume&gt;&lt;style face="normal" font="default" size="100%"&gt;16&lt;/style&gt;&lt;/volume&gt;&lt;number&gt;&lt;style face="normal" font="default" size="100%"&gt;2&lt;/style&gt;&lt;/number&gt;&lt;dates&gt;&lt;year&gt;&lt;style face="normal" font="default" size="100%"&gt;2001&lt;/style&gt;&lt;/year&gt;&lt;/dates&gt;&lt;isbn&gt;&lt;style face="normal" font="default" size="100%"&gt;0268-09391464-5106&lt;/style&gt;&lt;/isbn&gt;&lt;urls&gt;&lt;pdf-urls&gt;&lt;url&gt;internal-pdf://3455528526/Teacher professional identity competing discou.pdf&lt;/url&gt;&lt;/pdf-urls&gt;&lt;/urls&gt;&lt;electronic-resource-num&gt;&lt;style face="normal" font="default" size="100%"&gt;10.1080/02680930116819&lt;/style&gt;&lt;/electronic-resource-num&gt;&lt;/record&gt;&lt;/Cite&gt;&lt;/EndNote&gt;</w:instrText>
      </w:r>
      <w:r>
        <w:rPr>
          <w:rFonts w:ascii="Times New Roman" w:cs="Times New Roman" w:hAnsi="Times New Roman" w:eastAsia="Times New Roman"/>
          <w:sz w:val="24"/>
          <w:szCs w:val="24"/>
          <w:lang w:val="de-DE"/>
        </w:rPr>
        <w:fldChar w:fldCharType="separate" w:fldLock="0"/>
      </w:r>
      <w:r>
        <w:rPr>
          <w:rFonts w:ascii="Times New Roman" w:hAnsi="Times New Roman"/>
          <w:sz w:val="24"/>
          <w:szCs w:val="24"/>
          <w:rtl w:val="0"/>
          <w:lang w:val="de-DE"/>
        </w:rPr>
        <w:t>(Sachs, 2001)</w:t>
      </w:r>
      <w:r>
        <w:rPr>
          <w:rFonts w:ascii="Times New Roman" w:cs="Times New Roman" w:hAnsi="Times New Roman" w:eastAsia="Times New Roman"/>
          <w:sz w:val="24"/>
          <w:szCs w:val="24"/>
          <w:lang w:val="de-DE"/>
        </w:rPr>
        <w:fldChar w:fldCharType="end" w:fldLock="0"/>
      </w:r>
      <w:r>
        <w:rPr>
          <w:rFonts w:ascii="Times New Roman" w:hAnsi="Times New Roman"/>
          <w:sz w:val="24"/>
          <w:szCs w:val="24"/>
          <w:rtl w:val="0"/>
          <w:lang w:val="en-US"/>
        </w:rPr>
        <w:t xml:space="preserve">.  This ultimately leads to a continuing cycle of discourses of power dividing us which, as Foucault reminds us, is due to their familiarity </w:t>
      </w:r>
      <w:r>
        <w:rPr>
          <w:rFonts w:ascii="Times New Roman" w:cs="Times New Roman" w:hAnsi="Times New Roman" w:eastAsia="Times New Roman"/>
          <w:sz w:val="24"/>
          <w:szCs w:val="24"/>
          <w:lang w:val="pt-PT"/>
        </w:rPr>
        <w:fldChar w:fldCharType="begin" w:fldLock="0"/>
      </w:r>
      <w:r>
        <w:rPr>
          <w:rFonts w:ascii="Times New Roman" w:cs="Times New Roman" w:hAnsi="Times New Roman" w:eastAsia="Times New Roman"/>
          <w:sz w:val="24"/>
          <w:szCs w:val="24"/>
          <w:lang w:val="pt-PT"/>
        </w:rPr>
        <w:instrText xml:space="preserve"> ADDIN EN.CITE &lt;EndNote&gt;&lt;Cite  &gt;&lt;Author&gt;Michael Foucault&lt;/Author&gt;&lt;Year&gt;1972/1995&lt;/Year&gt;&lt;RecNum&gt;721&lt;/RecNum&gt;&lt;Suffix&gt;, p.24&lt;/Suffix&gt;&lt;DisplayText&gt;(Foucault, 1972/1995, p.24)&lt;/DisplayText&gt;&lt;record&gt;&lt;database name="March 16.enl" path="/Users/helenwoodley1/Desktop/Endnote/March 16.enlp/March 16.enl"&gt;March 16.enl&lt;/database&gt;&lt;source-app name="EndNote" version="17.5"&gt;EndNote&lt;/source-app&gt;&lt;rec-number&gt;721&lt;/rec-number&gt;&lt;foreign-keys&gt;&lt;key app="EN" db-id="rsf955dd0z50eteweaxp52dgts99xtt925e9"&gt;721&lt;/key&gt;&lt;key app="ENWeb" db-id=""&gt;0&lt;/key&gt;&lt;/foreign-keys&gt;&lt;ref-type name="Book"&gt;6&lt;/ref-type&gt;&lt;contributors&gt;&lt;authors&gt;&lt;author&gt;&lt;style face="normal" font="default" size="100%"&gt;Michael Foucault&lt;/style&gt;&lt;/author&gt;&lt;/authors&gt;&lt;/contributors&gt;&lt;titles&gt;&lt;title&gt;&lt;style face="normal" font="default" size="100%"&gt;Archaeology of Knowledge&lt;/style&gt;&lt;/title&gt;&lt;/titles&gt;&lt;dates&gt;&lt;year&gt;&lt;style face="normal" font="default" size="100%"&gt;1972/1995&lt;/style&gt;&lt;/year&gt;&lt;/dates&gt;&lt;publisher&gt;&lt;style face="normal" font="default" size="100%"&gt;Routledge&lt;/style&gt;&lt;/publisher&gt;&lt;urls&gt;&lt;pdf-urls&gt;&lt;url&gt;internal-pdf://1704365084/Foucault_Michel_-_Archaeology_of_Knowled.pdf&lt;/url&gt;&lt;/pdf-urls&gt;&lt;/urls&gt;&lt;/record&gt;&lt;/Cite&gt;&lt;/EndNote&gt;</w:instrText>
      </w:r>
      <w:r>
        <w:rPr>
          <w:rFonts w:ascii="Times New Roman" w:cs="Times New Roman" w:hAnsi="Times New Roman" w:eastAsia="Times New Roman"/>
          <w:sz w:val="24"/>
          <w:szCs w:val="24"/>
          <w:lang w:val="pt-PT"/>
        </w:rPr>
        <w:fldChar w:fldCharType="separate" w:fldLock="0"/>
      </w:r>
      <w:r>
        <w:rPr>
          <w:rFonts w:ascii="Times New Roman" w:hAnsi="Times New Roman"/>
          <w:sz w:val="24"/>
          <w:szCs w:val="24"/>
          <w:rtl w:val="0"/>
          <w:lang w:val="pt-PT"/>
        </w:rPr>
        <w:t>(Foucault, 1972/1995, p.24)</w:t>
      </w:r>
      <w:r>
        <w:rPr>
          <w:rFonts w:ascii="Times New Roman" w:cs="Times New Roman" w:hAnsi="Times New Roman" w:eastAsia="Times New Roman"/>
          <w:sz w:val="24"/>
          <w:szCs w:val="24"/>
          <w:lang w:val="pt-PT"/>
        </w:rPr>
        <w:fldChar w:fldCharType="end" w:fldLock="0"/>
      </w:r>
      <w:r>
        <w:rPr>
          <w:rFonts w:ascii="Times New Roman" w:hAns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Within UK Government policy, these familiar discourses of teacher power are firmly established.  For example:</w:t>
      </w:r>
    </w:p>
    <w:p>
      <w:pPr>
        <w:pStyle w:val="Body A"/>
        <w:numPr>
          <w:ilvl w:val="0"/>
          <w:numId w:val="2"/>
        </w:numPr>
        <w:bidi w:val="0"/>
        <w:spacing w:line="48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 2012 Government guide refers to </w:t>
      </w:r>
      <w:r>
        <w:rPr>
          <w:rFonts w:ascii="Times New Roman" w:hAnsi="Times New Roman" w:hint="default"/>
          <w:sz w:val="24"/>
          <w:szCs w:val="24"/>
          <w:rtl w:val="0"/>
          <w:lang w:val="en-US"/>
        </w:rPr>
        <w:t>‘</w:t>
      </w:r>
      <w:r>
        <w:rPr>
          <w:rFonts w:ascii="Times New Roman" w:hAnsi="Times New Roman"/>
          <w:sz w:val="24"/>
          <w:szCs w:val="24"/>
          <w:rtl w:val="0"/>
          <w:lang w:val="en-US"/>
        </w:rPr>
        <w:t>exclusion [from school] as a sanction</w:t>
      </w:r>
      <w:r>
        <w:rPr>
          <w:rFonts w:ascii="Times New Roman" w:hAnsi="Times New Roman" w:hint="default"/>
          <w:sz w:val="24"/>
          <w:szCs w:val="24"/>
          <w:rtl w:val="0"/>
          <w:lang w:val="en-US"/>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ADDIN EN.CITE &lt;EndNote&gt;&lt;Cite  &gt;&lt;Author&gt;DfE&lt;/Author&gt;&lt;Year&gt;2012&lt;/Year&gt;&lt;RecNum&gt;578&lt;/RecNum&gt;&lt;Suffix&gt;, p.4&lt;/Suffix&gt;&lt;DisplayText&gt;(DfE, 2012, p.4)&lt;/DisplayText&gt;&lt;record&gt;&lt;database name="March 16.enl" path="/Users/helenwoodley1/Desktop/Endnote/March 16.enlp/March 16.enl"&gt;March 16.enl&lt;/database&gt;&lt;source-app name="EndNote" version="17.5"&gt;EndNote&lt;/source-app&gt;&lt;rec-number&gt;578&lt;/rec-number&gt;&lt;foreign-keys&gt;&lt;key app="EN" db-id="rsf955dd0z50eteweaxp52dgts99xtt925e9"&gt;578&lt;/key&gt;&lt;key app="ENWeb" db-id=""&gt;0&lt;/key&gt;&lt;/foreign-keys&gt;&lt;ref-type name="Journal Article"&gt;17&lt;/ref-type&gt;&lt;contributors&gt;&lt;authors&gt;&lt;author&gt;&lt;style face="normal" font="default" size="100%"&gt;DfE&lt;/style&gt;&lt;/author&gt;&lt;/authors&gt;&lt;/contributors&gt;&lt;titles&gt;&lt;title&gt;&lt;style face="normal" font="default" size="100%"&gt;Exclusion from maintained schools academies and pupil referral units&lt;/style&gt;&lt;/title&gt;&lt;/titles&gt;&lt;dates&gt;&lt;year&gt;&lt;style face="normal" font="default" size="100%"&gt;2012&lt;/style&gt;&lt;/year&gt;&lt;/dates&gt;&lt;urls&gt;&lt;pdf-urls&gt;&lt;url&gt;internal-pdf://3829176425/Exclusion_from_maintained_schools__academies_a.pdf&lt;/url&gt;&lt;/pdf-urls&gt;&lt;/urls&gt;&lt;/record&gt;&lt;/Cite&gt;&lt;/EndNote&gt;</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(DfE, 2012, p.4)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w:t>
      </w:r>
    </w:p>
    <w:p>
      <w:pPr>
        <w:pStyle w:val="Body A"/>
        <w:numPr>
          <w:ilvl w:val="0"/>
          <w:numId w:val="2"/>
        </w:numPr>
        <w:bidi w:val="0"/>
        <w:spacing w:line="48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 2015 Government advice discussing the use of reasonable physical force to be used by teachers, refer to </w:t>
      </w:r>
      <w:r>
        <w:rPr>
          <w:rFonts w:ascii="Times New Roman" w:hAnsi="Times New Roman" w:hint="default"/>
          <w:sz w:val="24"/>
          <w:szCs w:val="24"/>
          <w:rtl w:val="0"/>
          <w:lang w:val="en-US"/>
        </w:rPr>
        <w:t>‘</w:t>
      </w:r>
      <w:r>
        <w:rPr>
          <w:rFonts w:ascii="Times New Roman" w:hAnsi="Times New Roman"/>
          <w:sz w:val="24"/>
          <w:szCs w:val="24"/>
          <w:rtl w:val="0"/>
          <w:lang w:val="en-US"/>
        </w:rPr>
        <w:t>control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restrain</w:t>
      </w:r>
      <w:r>
        <w:rPr>
          <w:rFonts w:ascii="Times New Roman" w:hAnsi="Times New Roman" w:hint="default"/>
          <w:sz w:val="24"/>
          <w:szCs w:val="24"/>
          <w:rtl w:val="0"/>
          <w:lang w:val="en-US"/>
        </w:rPr>
        <w:t xml:space="preserve">’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ADDIN EN.CITE &lt;EndNote&gt;&lt;Cite  &gt;&lt;Author&gt;DfE&lt;/Author&gt;&lt;Year&gt;2015&lt;/Year&gt;&lt;RecNum&gt;718&lt;/RecNum&gt;&lt;Suffix&gt;, p.4&lt;/Suffix&gt;&lt;DisplayText&gt;(DfE, 2015, p.4)&lt;/DisplayText&gt;&lt;record&gt;&lt;database name="March 16.enl" path="/Users/helenwoodley1/Desktop/Endnote/March 16.enlp/March 16.enl"&gt;March 16.enl&lt;/database&gt;&lt;source-app name="EndNote" version="17.5"&gt;EndNote&lt;/source-app&gt;&lt;rec-number&gt;718&lt;/rec-number&gt;&lt;foreign-keys&gt;&lt;key app="EN" db-id="rsf955dd0z50eteweaxp52dgts99xtt925e9"&gt;718&lt;/key&gt;&lt;key app="ENWeb" db-id=""&gt;0&lt;/key&gt;&lt;/foreign-keys&gt;&lt;ref-type name="Journal Article"&gt;17&lt;/ref-type&gt;&lt;contributors&gt;&lt;authors&gt;&lt;author&gt;&lt;style face="normal" font="default" size="100%"&gt;DfE&lt;/style&gt;&lt;/author&gt;&lt;/authors&gt;&lt;/contributors&gt;&lt;titles&gt;&lt;title&gt;&lt;style face="normal" font="default" size="100%"&gt;Use of reasonable force&lt;/style&gt;&lt;/title&gt;&lt;/titles&gt;&lt;dates&gt;&lt;year&gt;&lt;style face="normal" font="default" size="100%"&gt;2015&lt;/style&gt;&lt;/year&gt;&lt;/dates&gt;&lt;urls&gt;&lt;pdf-urls&gt;&lt;url&gt;internal-pdf://4172670838/Use_of_reasonable_force_advice_Reviewed_July_2.pdf&lt;/url&gt;&lt;/pdf-urls&gt;&lt;/urls&gt;&lt;/record&gt;&lt;/Cite&gt;&lt;/EndNote&gt;</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(DfE, 2015, p.4)</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w:t>
      </w:r>
    </w:p>
    <w:p>
      <w:pPr>
        <w:pStyle w:val="Body A"/>
        <w:numPr>
          <w:ilvl w:val="0"/>
          <w:numId w:val="2"/>
        </w:numPr>
        <w:bidi w:val="0"/>
        <w:spacing w:line="48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 2016 Government advice on behaviour and disciple refer to teacher </w:t>
      </w:r>
      <w:r>
        <w:rPr>
          <w:rFonts w:ascii="Times New Roman" w:hAnsi="Times New Roman" w:hint="default"/>
          <w:sz w:val="24"/>
          <w:szCs w:val="24"/>
          <w:rtl w:val="0"/>
          <w:lang w:val="en-US"/>
        </w:rPr>
        <w:t>‘</w:t>
      </w:r>
      <w:r>
        <w:rPr>
          <w:rFonts w:ascii="Times New Roman" w:hAnsi="Times New Roman"/>
          <w:sz w:val="24"/>
          <w:szCs w:val="24"/>
          <w:rtl w:val="0"/>
          <w:lang w:val="en-US"/>
        </w:rPr>
        <w:t>power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their legal right to use </w:t>
      </w:r>
      <w:r>
        <w:rPr>
          <w:rFonts w:ascii="Times New Roman" w:hAnsi="Times New Roman" w:hint="default"/>
          <w:sz w:val="24"/>
          <w:szCs w:val="24"/>
          <w:rtl w:val="0"/>
          <w:lang w:val="en-US"/>
        </w:rPr>
        <w:t>‘</w:t>
      </w:r>
      <w:r>
        <w:rPr>
          <w:rFonts w:ascii="Times New Roman" w:hAnsi="Times New Roman"/>
          <w:sz w:val="24"/>
          <w:szCs w:val="24"/>
          <w:rtl w:val="0"/>
          <w:lang w:val="en-US"/>
        </w:rPr>
        <w:t>punishment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a tool </w:t>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ADDIN EN.CITE &lt;EndNote&gt;&lt;Cite  &gt;&lt;Author&gt;DfE&lt;/Author&gt;&lt;Year&gt;2016&lt;/Year&gt;&lt;RecNum&gt;717&lt;/RecNum&gt;&lt;Suffix&gt;, p.7&lt;/Suffix&gt;&lt;DisplayText&gt;(DfE, 2016, p.7)&lt;/DisplayText&gt;&lt;record&gt;&lt;database name="March 16.enl" path="/Users/helenwoodley1/Desktop/Endnote/March 16.enlp/March 16.enl"&gt;March 16.enl&lt;/database&gt;&lt;source-app name="EndNote" version="17.5"&gt;EndNote&lt;/source-app&gt;&lt;rec-number&gt;717&lt;/rec-number&gt;&lt;foreign-keys&gt;&lt;key app="EN" db-id="rsf955dd0z50eteweaxp52dgts99xtt925e9"&gt;717&lt;/key&gt;&lt;key app="ENWeb" db-id=""&gt;0&lt;/key&gt;&lt;/foreign-keys&gt;&lt;ref-type name="Journal Article"&gt;17&lt;/ref-type&gt;&lt;contributors&gt;&lt;authors&gt;&lt;author&gt;&lt;style face="normal" font="default" size="100%"&gt;DfE&lt;/style&gt;&lt;/author&gt;&lt;/authors&gt;&lt;/contributors&gt;&lt;titles&gt;&lt;title&gt;&lt;style face="normal" font="default" size="100%"&gt;Behaviour and Discipline in Schools - A guide for headteachers and School Staff&lt;/style&gt;&lt;/title&gt;&lt;/titles&gt;&lt;dates&gt;&lt;year&gt;&lt;style face="normal" font="default" size="100%"&gt;2016&lt;/style&gt;&lt;/year&gt;&lt;/dates&gt;&lt;urls&gt;&lt;pdf-urls&gt;&lt;url&gt;internal-pdf://2407636607/Behaviour_and_Discipline_in_Schools_-_A_guide_.pdf&lt;/url&gt;&lt;/pdf-urls&gt;&lt;/urls&gt;&lt;/record&gt;&lt;/Cite&gt;&lt;/EndNote&gt;</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(DfE, 2016, p.7)</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These macro discourses effect the micro discourses within individual school setting across all age ranges and they are often found in their behaviour policies.  For example:</w:t>
      </w:r>
    </w:p>
    <w:p>
      <w:pPr>
        <w:pStyle w:val="Body A"/>
        <w:numPr>
          <w:ilvl w:val="0"/>
          <w:numId w:val="2"/>
        </w:numPr>
        <w:bidi w:val="0"/>
        <w:spacing w:line="48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An 11 - 18 comprehensive school states, </w:t>
      </w:r>
      <w:r>
        <w:rPr>
          <w:rFonts w:ascii="Times New Roman" w:hAnsi="Times New Roman" w:hint="default"/>
          <w:sz w:val="24"/>
          <w:szCs w:val="24"/>
          <w:rtl w:val="0"/>
          <w:lang w:val="en-US"/>
        </w:rPr>
        <w:t>‘</w:t>
      </w:r>
      <w:r>
        <w:rPr>
          <w:rFonts w:ascii="Times New Roman" w:hAnsi="Times New Roman"/>
          <w:sz w:val="24"/>
          <w:szCs w:val="24"/>
          <w:rtl w:val="0"/>
          <w:lang w:val="en-US"/>
        </w:rPr>
        <w:t>No adult may be treated dismissively or unfairly</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A"/>
        <w:numPr>
          <w:ilvl w:val="0"/>
          <w:numId w:val="2"/>
        </w:numPr>
        <w:bidi w:val="0"/>
        <w:spacing w:line="48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An 11 - 18 comprehensive school indicated that teachers may enforce a </w:t>
      </w:r>
      <w:r>
        <w:rPr>
          <w:rFonts w:ascii="Times New Roman" w:hAnsi="Times New Roman" w:hint="default"/>
          <w:sz w:val="24"/>
          <w:szCs w:val="24"/>
          <w:rtl w:val="0"/>
          <w:lang w:val="en-US"/>
        </w:rPr>
        <w:t>‘</w:t>
      </w:r>
      <w:r>
        <w:rPr>
          <w:rFonts w:ascii="Times New Roman" w:hAnsi="Times New Roman"/>
          <w:sz w:val="24"/>
          <w:szCs w:val="24"/>
          <w:rtl w:val="0"/>
          <w:lang w:val="en-US"/>
        </w:rPr>
        <w:t>disciplinary penalty</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A"/>
        <w:numPr>
          <w:ilvl w:val="0"/>
          <w:numId w:val="2"/>
        </w:numPr>
        <w:bidi w:val="0"/>
        <w:spacing w:line="48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 5 - 11 primary school  says that </w:t>
      </w:r>
      <w:r>
        <w:rPr>
          <w:rFonts w:ascii="Times New Roman" w:hAnsi="Times New Roman" w:hint="default"/>
          <w:sz w:val="24"/>
          <w:szCs w:val="24"/>
          <w:rtl w:val="0"/>
          <w:lang w:val="en-US"/>
        </w:rPr>
        <w:t>‘</w:t>
      </w:r>
      <w:r>
        <w:rPr>
          <w:rFonts w:ascii="Times New Roman" w:hAnsi="Times New Roman"/>
          <w:sz w:val="24"/>
          <w:szCs w:val="24"/>
          <w:rtl w:val="0"/>
          <w:lang w:val="en-US"/>
        </w:rPr>
        <w:t>A child can have a maximum total of 18 days seclusion [educated in isolation away from peers] in one academic year</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SassoonPrimaryType" w:cs="SassoonPrimaryType" w:hAnsi="SassoonPrimaryType" w:eastAsia="SassoonPrimaryType"/>
          <w:i w:val="1"/>
          <w:iCs w:val="1"/>
          <w:sz w:val="24"/>
          <w:szCs w:val="24"/>
        </w:rPr>
      </w:pPr>
      <w:r>
        <w:rPr>
          <w:rFonts w:ascii="Times New Roman" w:hAnsi="Times New Roman"/>
          <w:sz w:val="24"/>
          <w:szCs w:val="24"/>
          <w:rtl w:val="0"/>
          <w:lang w:val="en-US"/>
        </w:rPr>
        <w:t>Although corporal punishment was made illegal in 1984 there are often calls, from both parents and teachers, for it to be reinstated</w:t>
      </w:r>
      <w:r>
        <w:rPr>
          <w:rFonts w:ascii="Times New Roman" w:cs="Times New Roman" w:hAnsi="Times New Roman" w:eastAsia="Times New Roman"/>
          <w:sz w:val="24"/>
          <w:szCs w:val="24"/>
          <w:vertAlign w:val="superscript"/>
        </w:rPr>
        <w:footnoteReference w:id="1"/>
      </w:r>
      <w:r>
        <w:rPr>
          <w:rStyle w:val="None"/>
          <w:rFonts w:ascii="Times New Roman" w:hAnsi="Times New Roman"/>
          <w:sz w:val="24"/>
          <w:szCs w:val="24"/>
          <w:rtl w:val="0"/>
          <w:lang w:val="en-US"/>
        </w:rPr>
        <w:t xml:space="preserve">.  The fact that this is the case is alarming especially in light of the discourses of power discussed above. </w:t>
      </w:r>
    </w:p>
    <w:p>
      <w:pPr>
        <w:pStyle w:val="Body A"/>
        <w:spacing w:line="480" w:lineRule="auto"/>
        <w:rPr>
          <w:rStyle w:val="None"/>
          <w:rFonts w:ascii="SassoonPrimaryType" w:cs="SassoonPrimaryType" w:hAnsi="SassoonPrimaryType" w:eastAsia="SassoonPrimaryType"/>
          <w:b w:val="1"/>
          <w:bCs w:val="1"/>
          <w:i w:val="1"/>
          <w:iCs w:val="1"/>
          <w:sz w:val="24"/>
          <w:szCs w:val="24"/>
        </w:rPr>
      </w:pPr>
    </w:p>
    <w:p>
      <w:pPr>
        <w:pStyle w:val="Body A"/>
        <w:spacing w:line="480" w:lineRule="auto"/>
        <w:rPr>
          <w:rStyle w:val="None"/>
          <w:rFonts w:ascii="SassoonPrimaryType" w:cs="SassoonPrimaryType" w:hAnsi="SassoonPrimaryType" w:eastAsia="SassoonPrimaryType"/>
          <w:b w:val="1"/>
          <w:bCs w:val="1"/>
          <w:i w:val="1"/>
          <w:iCs w:val="1"/>
          <w:sz w:val="24"/>
          <w:szCs w:val="24"/>
        </w:rPr>
      </w:pPr>
    </w:p>
    <w:p>
      <w:pPr>
        <w:pStyle w:val="Body A"/>
        <w:spacing w:line="480" w:lineRule="auto"/>
        <w:rPr>
          <w:rFonts w:ascii="SassoonPrimaryType" w:cs="SassoonPrimaryType" w:hAnsi="SassoonPrimaryType" w:eastAsia="SassoonPrimaryType"/>
          <w:b w:val="1"/>
          <w:bCs w:val="1"/>
          <w:i w:val="1"/>
          <w:iCs w:val="1"/>
          <w:sz w:val="24"/>
          <w:szCs w:val="24"/>
        </w:rPr>
      </w:pPr>
    </w:p>
    <w:p>
      <w:pPr>
        <w:pStyle w:val="Body A"/>
        <w:spacing w:line="48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Teaching in a PRU</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Whilst those are the macro and micro dominant discourses seen within mainstream schools, it is crucial to understand how different being educated in, and teaching in, a PRU is.  Currently, being excluded to a PRU is a school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ultimate sanction and use of power for poor behaviour. The path for the creation of PRUs was laid down in the 1980s allowing for the permanent exclusion of pupils from mainstream schools, there is no uniformity across the UK for how a PRU should function and  instead a series of basic principles are laid down:</w:t>
      </w:r>
    </w:p>
    <w:p>
      <w:pPr>
        <w:pStyle w:val="Body A"/>
        <w:spacing w:line="480" w:lineRule="auto"/>
        <w:rPr>
          <w:rFonts w:ascii="Times New Roman" w:cs="Times New Roman" w:hAnsi="Times New Roman" w:eastAsia="Times New Roman"/>
          <w:sz w:val="24"/>
          <w:szCs w:val="24"/>
        </w:rPr>
      </w:pPr>
    </w:p>
    <w:p>
      <w:pPr>
        <w:pStyle w:val="Body A"/>
        <w:numPr>
          <w:ilvl w:val="0"/>
          <w:numId w:val="2"/>
        </w:numPr>
        <w:bidi w:val="0"/>
        <w:spacing w:line="480" w:lineRule="auto"/>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The act of permanent exclusion transfers the pupil from the school roll to the care of the local authority.  </w:t>
      </w:r>
    </w:p>
    <w:p>
      <w:pPr>
        <w:pStyle w:val="Body A"/>
        <w:numPr>
          <w:ilvl w:val="0"/>
          <w:numId w:val="2"/>
        </w:numPr>
        <w:bidi w:val="0"/>
        <w:spacing w:line="480" w:lineRule="auto"/>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Parents have a right of appeal although their chances of success are slim;  they are often confused about the process and trusting of the school's decision</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(Children's Commissioner Report, 2012, pp. 69-73).</w:t>
      </w:r>
      <w:r>
        <w:rPr>
          <w:rStyle w:val="None"/>
          <w:rFonts w:ascii="Times New Roman" w:hAnsi="Times New Roman"/>
          <w:sz w:val="24"/>
          <w:szCs w:val="24"/>
          <w:rtl w:val="0"/>
          <w:lang w:val="en-US"/>
        </w:rPr>
        <w:t xml:space="preserve"> </w:t>
      </w:r>
    </w:p>
    <w:p>
      <w:pPr>
        <w:pStyle w:val="Body A"/>
        <w:numPr>
          <w:ilvl w:val="0"/>
          <w:numId w:val="2"/>
        </w:numPr>
        <w:bidi w:val="0"/>
        <w:spacing w:line="480" w:lineRule="auto"/>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Unless they can get an exclusion over turned, convince the school to offer a </w:t>
      </w:r>
      <w:r>
        <w:rPr>
          <w:rStyle w:val="None"/>
          <w:rFonts w:ascii="Times New Roman" w:hAnsi="Times New Roman"/>
          <w:sz w:val="24"/>
          <w:szCs w:val="24"/>
          <w:rtl w:val="0"/>
          <w:lang w:val="en-US"/>
        </w:rPr>
        <w:t xml:space="preserve">move to a new mainstream school </w:t>
      </w:r>
      <w:r>
        <w:rPr>
          <w:rStyle w:val="None"/>
          <w:rFonts w:ascii="Times New Roman" w:hAnsi="Times New Roman"/>
          <w:sz w:val="24"/>
          <w:szCs w:val="24"/>
          <w:rtl w:val="0"/>
          <w:lang w:val="en-US"/>
        </w:rPr>
        <w:t xml:space="preserve">or offer home schooling, the only option is </w:t>
      </w:r>
      <w:r>
        <w:rPr>
          <w:rStyle w:val="None"/>
          <w:rFonts w:ascii="Times New Roman" w:hAnsi="Times New Roman"/>
          <w:sz w:val="24"/>
          <w:szCs w:val="24"/>
          <w:rtl w:val="0"/>
          <w:lang w:val="en-US"/>
        </w:rPr>
        <w:t xml:space="preserve">the local area </w:t>
      </w:r>
      <w:r>
        <w:rPr>
          <w:rStyle w:val="None"/>
          <w:rFonts w:ascii="Times New Roman" w:hAnsi="Times New Roman"/>
          <w:sz w:val="24"/>
          <w:szCs w:val="24"/>
          <w:rtl w:val="0"/>
          <w:lang w:val="en-US"/>
        </w:rPr>
        <w:t xml:space="preserve">PRU which </w:t>
      </w:r>
      <w:r>
        <w:rPr>
          <w:rStyle w:val="None"/>
          <w:rFonts w:ascii="Times New Roman" w:hAnsi="Times New Roman"/>
          <w:sz w:val="24"/>
          <w:szCs w:val="24"/>
          <w:rtl w:val="0"/>
          <w:lang w:val="en-US"/>
        </w:rPr>
        <w:t xml:space="preserve">is </w:t>
      </w:r>
      <w:r>
        <w:rPr>
          <w:rStyle w:val="None"/>
          <w:rFonts w:ascii="Times New Roman" w:hAnsi="Times New Roman"/>
          <w:sz w:val="24"/>
          <w:szCs w:val="24"/>
          <w:rtl w:val="0"/>
          <w:lang w:val="en-US"/>
        </w:rPr>
        <w:t xml:space="preserve">regulated </w:t>
      </w:r>
      <w:r>
        <w:rPr>
          <w:rStyle w:val="None"/>
          <w:rFonts w:ascii="Times New Roman" w:hAnsi="Times New Roman"/>
          <w:sz w:val="24"/>
          <w:szCs w:val="24"/>
          <w:rtl w:val="0"/>
          <w:lang w:val="en-US"/>
        </w:rPr>
        <w:t xml:space="preserve">at a national level </w:t>
      </w:r>
      <w:r>
        <w:rPr>
          <w:rStyle w:val="None"/>
          <w:rFonts w:ascii="Times New Roman" w:hAnsi="Times New Roman"/>
          <w:sz w:val="24"/>
          <w:szCs w:val="24"/>
          <w:rtl w:val="0"/>
          <w:lang w:val="en-US"/>
        </w:rPr>
        <w:t>by Ofsted</w:t>
      </w:r>
      <w:r>
        <w:rPr>
          <w:rStyle w:val="None"/>
          <w:rFonts w:ascii="Times New Roman" w:hAnsi="Times New Roman"/>
          <w:sz w:val="24"/>
          <w:szCs w:val="24"/>
          <w:rtl w:val="0"/>
          <w:lang w:val="en-US"/>
        </w:rPr>
        <w:t xml:space="preserve"> </w:t>
      </w:r>
      <w:r>
        <w:rPr>
          <w:rStyle w:val="None"/>
          <w:rFonts w:ascii="Times New Roman" w:cs="Times New Roman" w:hAnsi="Times New Roman" w:eastAsia="Times New Roman"/>
          <w:sz w:val="24"/>
          <w:szCs w:val="24"/>
          <w:lang w:val="en-US"/>
        </w:rPr>
        <w:fldChar w:fldCharType="begin" w:fldLock="0"/>
      </w:r>
      <w:r>
        <w:rPr>
          <w:rStyle w:val="None"/>
          <w:rFonts w:ascii="Times New Roman" w:cs="Times New Roman" w:hAnsi="Times New Roman" w:eastAsia="Times New Roman"/>
          <w:sz w:val="24"/>
          <w:szCs w:val="24"/>
          <w:lang w:val="en-US"/>
        </w:rPr>
        <w:instrText xml:space="preserve"> ADDIN EN.CITE &lt;EndNote&gt;&lt;Cite  &gt;&lt;Author&gt;Ogg, T; Kaill, E&lt;/Author&gt;&lt;Year&gt;2010&lt;/Year&gt;&lt;DisplayText&gt;(Ogg and Kaill, 2010)&lt;/DisplayText&gt;&lt;record&gt;&lt;database name="March 16.enl" path="/Users/helenwoodley1/Desktop/Endnote/March 16.enlp/March 16.enl"&gt;March 16.enl&lt;/database&gt;&lt;source-app name="EndNote" version="17.5"&gt;EndNote&lt;/source-app&gt;&lt;rec-number&gt;650&lt;/rec-number&gt;&lt;foreign-keys&gt;&lt;key app="EN" db-id="rsf955dd0z50eteweaxp52dgts99xtt925e9"&gt;650&lt;/key&gt;&lt;/foreign-keys&gt;&lt;ref-type name="Generic"&gt;13&lt;/ref-type&gt;&lt;contributors&gt;&lt;authors&gt;&lt;author&gt;&lt;style face="normal" font="default" size="100%"&gt;Ogg, T&lt;/style&gt;&lt;/author&gt;&lt;author&gt;&lt;style face="normal" font="default" size="100%"&gt;Kaill, E&lt;/style&gt;&lt;/author&gt;&lt;/authors&gt;&lt;/contributors&gt;&lt;titles&gt;&lt;title&gt;&lt;style face="normal" font="default" size="100%"&gt;A new secret garden? Alternative provision, exclusion and children’s rights&lt;/style&gt;&lt;/title&gt;&lt;/titles&gt;&lt;dates&gt;&lt;year&gt;&lt;style face="normal" font="default" size="100%"&gt;2010&lt;/style&gt;&lt;/year&gt;&lt;/dates&gt;&lt;publisher&gt;&lt;style face="normal" font="default" size="100%"&gt;London: Civitas&lt;/style&gt;&lt;/publisher&gt;&lt;urls/&gt;&lt;/record&gt;&lt;/Cite&gt;&lt;/EndNote&gt;</w:instrText>
      </w:r>
      <w:r>
        <w:rPr>
          <w:rStyle w:val="None"/>
          <w:rFonts w:ascii="Times New Roman" w:cs="Times New Roman" w:hAnsi="Times New Roman" w:eastAsia="Times New Roman"/>
          <w:sz w:val="24"/>
          <w:szCs w:val="24"/>
          <w:lang w:val="en-US"/>
        </w:rPr>
        <w:fldChar w:fldCharType="separate" w:fldLock="0"/>
      </w:r>
      <w:r>
        <w:rPr>
          <w:rStyle w:val="None"/>
          <w:rFonts w:ascii="Times New Roman" w:hAnsi="Times New Roman"/>
          <w:sz w:val="24"/>
          <w:szCs w:val="24"/>
          <w:rtl w:val="0"/>
          <w:lang w:val="en-US"/>
        </w:rPr>
        <w:t>(Ogg and Kaill, 2010)</w:t>
      </w:r>
      <w:r>
        <w:rPr>
          <w:rStyle w:val="None"/>
          <w:rFonts w:ascii="Times New Roman" w:cs="Times New Roman" w:hAnsi="Times New Roman" w:eastAsia="Times New Roman"/>
          <w:sz w:val="24"/>
          <w:szCs w:val="24"/>
          <w:lang w:val="en-US"/>
        </w:rPr>
        <w:fldChar w:fldCharType="end" w:fldLock="0"/>
      </w:r>
      <w:r>
        <w:rPr>
          <w:rStyle w:val="None"/>
          <w:rFonts w:ascii="Times New Roman" w:hAnsi="Times New Roman"/>
          <w:sz w:val="24"/>
          <w:szCs w:val="24"/>
          <w:rtl w:val="0"/>
          <w:lang w:val="en-US"/>
        </w:rPr>
        <w:t xml:space="preserve">. </w:t>
      </w:r>
    </w:p>
    <w:p>
      <w:pPr>
        <w:pStyle w:val="Body A"/>
        <w:numPr>
          <w:ilvl w:val="0"/>
          <w:numId w:val="2"/>
        </w:numPr>
        <w:bidi w:val="0"/>
        <w:spacing w:line="480" w:lineRule="auto"/>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PRUs have to offer at least 25 hours of education a week (the national standard for pupils to attend school) but each PRU can decide how these hours are achieved.</w:t>
      </w:r>
    </w:p>
    <w:p>
      <w:pPr>
        <w:pStyle w:val="Body A"/>
        <w:numPr>
          <w:ilvl w:val="0"/>
          <w:numId w:val="2"/>
        </w:numPr>
        <w:bidi w:val="0"/>
        <w:spacing w:line="480" w:lineRule="auto"/>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Pupils may attend a PRU on a short term basis to prevent a permanent exclusion; this is commonly around 3 months but may be up to 9 months.</w:t>
      </w:r>
    </w:p>
    <w:p>
      <w:pPr>
        <w:pStyle w:val="Body A"/>
        <w:spacing w:line="480" w:lineRule="auto"/>
        <w:ind w:left="567" w:right="567" w:firstLine="0"/>
        <w:rPr>
          <w:rFonts w:ascii="Times New Roman" w:cs="Times New Roman" w:hAnsi="Times New Roman" w:eastAsia="Times New Roman"/>
          <w:sz w:val="24"/>
          <w:szCs w:val="24"/>
        </w:rPr>
      </w:pPr>
    </w:p>
    <w:p>
      <w:pPr>
        <w:pStyle w:val="Body A"/>
        <w:spacing w:line="480" w:lineRule="auto"/>
        <w:ind w:left="567" w:right="567" w:firstLine="0"/>
        <w:rPr>
          <w:rFonts w:ascii="Times New Roman" w:cs="Times New Roman" w:hAnsi="Times New Roman" w:eastAsia="Times New Roman"/>
          <w:sz w:val="24"/>
          <w:szCs w:val="24"/>
        </w:rPr>
      </w:pPr>
    </w:p>
    <w:p>
      <w:pPr>
        <w:pStyle w:val="Body A"/>
        <w:spacing w:line="480" w:lineRule="auto"/>
        <w:ind w:left="567" w:right="567" w:firstLine="0"/>
        <w:rPr>
          <w:rFonts w:ascii="Times New Roman" w:cs="Times New Roman" w:hAnsi="Times New Roman" w:eastAsia="Times New Roman"/>
          <w:sz w:val="24"/>
          <w:szCs w:val="24"/>
        </w:rPr>
      </w:pPr>
    </w:p>
    <w:p>
      <w:pPr>
        <w:pStyle w:val="Body A"/>
        <w:spacing w:line="480" w:lineRule="auto"/>
        <w:ind w:left="567" w:right="567" w:firstLine="0"/>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Life long learning - journalling as a method of recording voice and developing personal knowledge </w:t>
      </w:r>
    </w:p>
    <w:p>
      <w:pPr>
        <w:pStyle w:val="Body A"/>
        <w:spacing w:line="480" w:lineRule="auto"/>
        <w:rPr>
          <w:rStyle w:val="None"/>
          <w:rFonts w:ascii="Times New Roman" w:cs="Times New Roman" w:hAnsi="Times New Roman" w:eastAsia="Times New Roman"/>
          <w:b w:val="1"/>
          <w:bCs w:val="1"/>
          <w:sz w:val="24"/>
          <w:szCs w:val="24"/>
        </w:rPr>
      </w:pPr>
    </w:p>
    <w:p>
      <w:pPr>
        <w:pStyle w:val="Body A"/>
        <w:spacing w:line="48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First research journal - personal development </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Now I will turn my focus to life long learning and the use of journalling as a method of developing personal knowledge and adult learning.  During the earliest stages of my research, my notebook was simply a lined school book belonging to a past pupil with the used pages torn out.  This early recording was functional and contained to-do lists, aide memoirs and scribblings of notes.  They did not contain any reflection or scaffolding of ideas as Elgin suggests that a teacher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diary should contain </w:t>
      </w:r>
      <w:r>
        <w:rPr>
          <w:rStyle w:val="None"/>
          <w:rFonts w:ascii="Times New Roman" w:cs="Times New Roman" w:hAnsi="Times New Roman" w:eastAsia="Times New Roman"/>
          <w:sz w:val="24"/>
          <w:szCs w:val="24"/>
        </w:rPr>
        <w:fldChar w:fldCharType="begin" w:fldLock="0"/>
      </w:r>
      <w:r>
        <w:rPr>
          <w:rStyle w:val="None"/>
          <w:rFonts w:ascii="Times New Roman" w:cs="Times New Roman" w:hAnsi="Times New Roman" w:eastAsia="Times New Roman"/>
          <w:sz w:val="24"/>
          <w:szCs w:val="24"/>
        </w:rPr>
        <w:instrText xml:space="preserve"> ADDIN EN.CITE &lt;EndNote&gt;&lt;Cite  &gt;&lt;Author&gt;Marion Engin,&lt;/Author&gt;&lt;Year&gt;2011&lt;/Year&gt;&lt;RecNum&gt;242&lt;/RecNum&gt;&lt;DisplayText&gt;(Marion Engin, 2011)&lt;/DisplayText&gt;&lt;record&gt;&lt;database name="March 16.enl" path="/Users/helenwoodley1/Desktop/Endnote/March 16.enlp/March 16.enl"&gt;March 16.enl&lt;/database&gt;&lt;source-app name="EndNote" version="17.5"&gt;EndNote&lt;/source-app&gt;&lt;rec-number&gt;242&lt;/rec-number&gt;&lt;foreign-keys&gt;&lt;key app="EN" db-id="rsf955dd0z50eteweaxp52dgts99xtt925e9"&gt;242&lt;/key&gt;&lt;/foreign-keys&gt;&lt;ref-type name="Journal Article"&gt;17&lt;/ref-type&gt;&lt;contributors&gt;&lt;authors&gt;&lt;author&gt;&lt;style face="normal" font="default" size="100%"&gt;Marion Engin,&lt;/style&gt;&lt;/author&gt;&lt;/authors&gt;&lt;/contributors&gt;&lt;titles&gt;&lt;title&gt;&lt;style face="normal" font="default" size="100%"&gt;Research Diary: A Tool for Scaffolding&lt;/style&gt;&lt;/title&gt;&lt;secondary-title&gt;&lt;style face="normal" font="default" size="100%"&gt;International Journal of Qualitative Methods&lt;/style&gt;&lt;/secondary-title&gt;&lt;/titles&gt;&lt;periodical&gt;&lt;full-title&gt;&lt;style face="normal" font="default" size="100%"&gt;International Journal of Qualitative Methods&lt;/style&gt;&lt;/full-title&gt;&lt;/periodical&gt;&lt;volume&gt;&lt;style face="normal" font="default" size="100%"&gt;10&lt;/style&gt;&lt;/volume&gt;&lt;number&gt;&lt;style face="normal" font="default" size="100%"&gt;3&lt;/style&gt;&lt;/number&gt;&lt;dates&gt;&lt;year&gt;&lt;style face="normal" font="default" size="100%"&gt;2011&lt;/style&gt;&lt;/year&gt;&lt;/dates&gt;&lt;urls&gt;&lt;pdf-urls&gt;&lt;url&gt;internal-pdf://0847376190/8069-30788-1-PB.pdf&lt;/url&gt;&lt;/pdf-urls&gt;&lt;/urls&gt;&lt;/record&gt;&lt;/Cite&gt;&lt;/EndNote&gt;</w:instrText>
      </w:r>
      <w:r>
        <w:rPr>
          <w:rStyle w:val="None"/>
          <w:rFonts w:ascii="Times New Roman" w:cs="Times New Roman" w:hAnsi="Times New Roman" w:eastAsia="Times New Roman"/>
          <w:sz w:val="24"/>
          <w:szCs w:val="24"/>
        </w:rPr>
        <w:fldChar w:fldCharType="separate" w:fldLock="0"/>
      </w:r>
      <w:r>
        <w:rPr>
          <w:rStyle w:val="None"/>
          <w:rFonts w:ascii="Times New Roman" w:hAnsi="Times New Roman"/>
          <w:sz w:val="24"/>
          <w:szCs w:val="24"/>
          <w:rtl w:val="0"/>
          <w:lang w:val="en-US"/>
        </w:rPr>
        <w:t>(Marion Engin, 2011)</w:t>
      </w:r>
      <w:r>
        <w:rPr>
          <w:rStyle w:val="None"/>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However it was a book my Moon </w:t>
      </w:r>
      <w:r>
        <w:rPr>
          <w:rStyle w:val="None"/>
          <w:rFonts w:ascii="Times New Roman" w:cs="Times New Roman" w:hAnsi="Times New Roman" w:eastAsia="Times New Roman"/>
          <w:sz w:val="24"/>
          <w:szCs w:val="24"/>
        </w:rPr>
        <w:fldChar w:fldCharType="begin" w:fldLock="0"/>
      </w:r>
      <w:r>
        <w:rPr>
          <w:rStyle w:val="None"/>
          <w:rFonts w:ascii="Times New Roman" w:cs="Times New Roman" w:hAnsi="Times New Roman" w:eastAsia="Times New Roman"/>
          <w:sz w:val="24"/>
          <w:szCs w:val="24"/>
        </w:rPr>
        <w:instrText xml:space="preserve"> ADDIN EN.CITE &lt;EndNote&gt;&lt;Cite  &gt;&lt;Author&gt;Moon, Jennifer A&lt;/Author&gt;&lt;Year&gt;1999&lt;/Year&gt;&lt;RecNum&gt;393&lt;/RecNum&gt;&lt;DisplayText&gt;(Moon, 1999)&lt;/DisplayText&gt;&lt;record&gt;&lt;database name="March 16.enl" path="/Users/helenwoodley1/Desktop/Endnote/March 16.enlp/March 16.enl"&gt;March 16.enl&lt;/database&gt;&lt;source-app name="EndNote" version="17.5"&gt;EndNote&lt;/source-app&gt;&lt;rec-number&gt;393&lt;/rec-number&gt;&lt;foreign-keys&gt;&lt;key app="EN" db-id="rsf955dd0z50eteweaxp52dgts99xtt925e9"&gt;393&lt;/key&gt;&lt;/foreign-keys&gt;&lt;ref-type name="Book"&gt;6&lt;/ref-type&gt;&lt;contributors&gt;&lt;authors&gt;&lt;author&gt;&lt;style face="normal" font="default" size="100%"&gt;Moon, Jennifer A&lt;/style&gt;&lt;/author&gt;&lt;/authors&gt;&lt;/contributors&gt;&lt;titles&gt;&lt;title&gt;&lt;style face="normal" font="default" size="100%"&gt;Learning journals: A handbook for academics, students and professional development&lt;/style&gt;&lt;/title&gt;&lt;/titles&gt;&lt;dates&gt;&lt;year&gt;&lt;style face="normal" font="default" size="100%"&gt;1999&lt;/style&gt;&lt;/year&gt;&lt;/dates&gt;&lt;publisher&gt;&lt;style face="normal" font="default" size="100%"&gt;Routledge&lt;/style&gt;&lt;/publisher&gt;&lt;isbn&gt;&lt;style face="normal" font="default" size="100%"&gt;0749430451&lt;/style&gt;&lt;/isbn&gt;&lt;urls/&gt;&lt;/record&gt;&lt;/Cite&gt;&lt;/EndNote&gt;</w:instrText>
      </w:r>
      <w:r>
        <w:rPr>
          <w:rStyle w:val="None"/>
          <w:rFonts w:ascii="Times New Roman" w:cs="Times New Roman" w:hAnsi="Times New Roman" w:eastAsia="Times New Roman"/>
          <w:sz w:val="24"/>
          <w:szCs w:val="24"/>
        </w:rPr>
        <w:fldChar w:fldCharType="separate" w:fldLock="0"/>
      </w:r>
      <w:r>
        <w:rPr>
          <w:rStyle w:val="None"/>
          <w:rFonts w:ascii="Times New Roman" w:hAnsi="Times New Roman"/>
          <w:sz w:val="24"/>
          <w:szCs w:val="24"/>
          <w:rtl w:val="0"/>
          <w:lang w:val="en-US"/>
        </w:rPr>
        <w:t>(Moon, 1999)</w:t>
      </w:r>
      <w:r>
        <w:rPr>
          <w:rStyle w:val="None"/>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 xml:space="preserve"> which detailed what benefits a learning journal could bring to personal development within higher education which encouraged me to change my approach.  I started my first research journal with this line:</w:t>
      </w:r>
    </w:p>
    <w:p>
      <w:pPr>
        <w:pStyle w:val="Body A"/>
        <w:spacing w:line="480" w:lineRule="auto"/>
        <w:rPr>
          <w:rFonts w:ascii="Times New Roman" w:cs="Times New Roman" w:hAnsi="Times New Roman" w:eastAsia="Times New Roman"/>
          <w:sz w:val="24"/>
          <w:szCs w:val="24"/>
        </w:rPr>
      </w:pPr>
    </w:p>
    <w:p>
      <w:pPr>
        <w:pStyle w:val="Body A"/>
        <w:spacing w:line="480" w:lineRule="auto"/>
        <w:jc w:val="center"/>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Current pupils I have and my thoughts</w:t>
      </w:r>
      <w:r>
        <w:rPr>
          <w:rStyle w:val="None"/>
          <w:rFonts w:ascii="Times New Roman" w:hAnsi="Times New Roman" w:hint="default"/>
          <w:sz w:val="24"/>
          <w:szCs w:val="24"/>
          <w:rtl w:val="0"/>
          <w:lang w:val="en-US"/>
        </w:rPr>
        <w:t xml:space="preserve">…’  </w:t>
      </w:r>
    </w:p>
    <w:p>
      <w:pPr>
        <w:pStyle w:val="Body A"/>
        <w:spacing w:line="480" w:lineRule="auto"/>
        <w:jc w:val="center"/>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(14.9.12 Research Journal 1)</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journal became a place where I discussed my thoughts with myself including emerging concerns about insider/outside research especially sharing my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voice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whilst maintaining my professional identity:</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w:t>
      </w:r>
      <w:r>
        <w:rPr>
          <w:rStyle w:val="None"/>
          <w:rFonts w:ascii="Times New Roman" w:hAnsi="Times New Roman"/>
          <w:sz w:val="24"/>
          <w:szCs w:val="24"/>
          <w:rtl w:val="0"/>
          <w:lang w:val="en-US"/>
        </w:rPr>
        <w:t xml:space="preserve">What struck me was that field journals played a massive role in her research.  She </w:t>
        <w:tab/>
        <w:tab/>
        <w:t>recorded so much detail. Sometimes beautifully so</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.The researcher was not part of the </w:t>
        <w:tab/>
        <w:tab/>
        <w:t xml:space="preserve">community and therefore chose to show her emotions with the kids.  I am not in that place </w:t>
        <w:tab/>
        <w:t xml:space="preserve">and I need to act with them as I always have done. Professionalism?  Yet dialogue is a two </w:t>
        <w:tab/>
        <w:t>way street.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(16.9.12 Research Journal 1)</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However, these moments were rare and my journal was largely based around my pupils and the insights that I was having about their worlds and voice.  As time progressed I began to question what my motivation for using a journal was as I had started to recognise that my focus had shifted at times to being about my own learning.  This was something that I initially felt uncomfortable with:</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w:t>
      </w:r>
      <w:r>
        <w:rPr>
          <w:rStyle w:val="None"/>
          <w:rFonts w:ascii="Times New Roman" w:hAnsi="Times New Roman"/>
          <w:sz w:val="24"/>
          <w:szCs w:val="24"/>
          <w:rtl w:val="0"/>
          <w:lang w:val="en-US"/>
        </w:rPr>
        <w:t>I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think I have found my own voice yet.  True, I have only been keeping one since </w:t>
        <w:tab/>
        <w:tab/>
        <w:t xml:space="preserve">September, but I am yet to find me in it.  Maybe I am too conscious of how other people </w:t>
        <w:tab/>
        <w:tab/>
        <w:t>write and what I should write like.  It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funny that I am struggling with my own identity in   </w:t>
        <w:tab/>
        <w:t>this when I am so interested in the pupils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identity.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(4.1.13 Research Journal 1)</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Towards the end of that first journal, my writing took a further change in direction with it becoming more personal with an increased focus on my own identity with hardly any mention of the pupils at all:</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w:t>
      </w:r>
      <w:r>
        <w:rPr>
          <w:rStyle w:val="None"/>
          <w:rFonts w:ascii="Times New Roman" w:hAnsi="Times New Roman"/>
          <w:sz w:val="24"/>
          <w:szCs w:val="24"/>
          <w:rtl w:val="0"/>
          <w:lang w:val="en-US"/>
        </w:rPr>
        <w:t>Candlemas. Thinking back to my time in Chad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Chapel.  That world all seems to long ago </w:t>
        <w:tab/>
        <w:t>not yet I am still so fundamentally the same as I was.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(2.2.13 Research Journal 1)</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At this stage I had not even heard the term autoethnography and my journals had certainly not been written with the intention of ever sharing them.  Yet what they had allowed was a continuation of my own learning both in terms of my knowledge about the pupils and of my own identity.  It was this development of my professional voice as a teacher that became the focus of my second research journal.</w:t>
      </w:r>
    </w:p>
    <w:p>
      <w:pPr>
        <w:pStyle w:val="Body A"/>
        <w:spacing w:line="480" w:lineRule="auto"/>
        <w:rPr>
          <w:rStyle w:val="None"/>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Second research journal - development of teacher voice</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As discussed earlier, the dominant discourses in education in the UK are largely about power and control.  However my journalling led to a development in my own learning as a teacher and the development of my own voice wanting to offer a different approach to the power relationship between staff and pupils.</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My own reflections highlighted that, within my classroom, my use of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power</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was very different to the cultural climate I was working within and the dominant discourses found in education.  I investigated my own understanding of my relationship with my pupils and notions of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love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whether working in a PRU effected my moral compass as a teacher and if teaching was a vocation rather than a profession </w:t>
      </w:r>
      <w:r>
        <w:rPr>
          <w:rStyle w:val="None"/>
          <w:rFonts w:ascii="Times New Roman" w:cs="Times New Roman" w:hAnsi="Times New Roman" w:eastAsia="Times New Roman"/>
          <w:sz w:val="24"/>
          <w:szCs w:val="24"/>
          <w:lang w:val="nl-NL"/>
        </w:rPr>
        <w:fldChar w:fldCharType="begin" w:fldLock="0"/>
      </w:r>
      <w:r>
        <w:rPr>
          <w:rStyle w:val="None"/>
          <w:rFonts w:ascii="Times New Roman" w:cs="Times New Roman" w:hAnsi="Times New Roman" w:eastAsia="Times New Roman"/>
          <w:sz w:val="24"/>
          <w:szCs w:val="24"/>
          <w:lang w:val="nl-NL"/>
        </w:rPr>
        <w:instrText xml:space="preserve"> ADDIN EN.CITE &lt;EndNote&gt;&lt;Cite  &gt;&lt;Author&gt;J. Buijs&lt;/Author&gt;&lt;Year&gt;2005&lt;/Year&gt;&lt;RecNum&gt;173&lt;/RecNum&gt;&lt;DisplayText&gt;(Buijs, 2005)&lt;/DisplayText&gt;&lt;record&gt;&lt;database name="March 16.enl" path="/Users/helenwoodley1/Desktop/Endnote/March 16.enlp/March 16.enl"&gt;March 16.enl&lt;/database&gt;&lt;source-app name="EndNote" version="17.5"&gt;EndNote&lt;/source-app&gt;&lt;rec-number&gt;173&lt;/rec-number&gt;&lt;foreign-keys&gt;&lt;key app="EN" db-id="rsf955dd0z50eteweaxp52dgts99xtt925e9"&gt;173&lt;/key&gt;&lt;/foreign-keys&gt;&lt;ref-type name="Journal Article"&gt;17&lt;/ref-type&gt;&lt;contributors&gt;&lt;authors&gt;&lt;author&gt;&lt;style face="normal" font="default" size="100%"&gt;J. Buijs&lt;/style&gt;&lt;/author&gt;&lt;/authors&gt;&lt;/contributors&gt;&lt;titles&gt;&lt;title&gt;&lt;style face="normal" font="default" size="100%"&gt;Teaching: Profession or Vocation?&lt;/style&gt;&lt;/title&gt;&lt;secondary-title&gt;&lt;style face="normal" font="default" size="100%"&gt;Catholic Education: A Journal of Inquiry and Practice&lt;/style&gt;&lt;/secondary-title&gt;&lt;/titles&gt;&lt;periodical&gt;&lt;full-title&gt;&lt;style face="normal" font="default" size="100%"&gt;Catholic Education: A Journal of Inquiry and Practice&lt;/style&gt;&lt;/full-title&gt;&lt;/periodical&gt;&lt;pages&gt;&lt;style face="normal" font="default" size="100%"&gt;326 - 345&lt;/style&gt;&lt;/pages&gt;&lt;volume&gt;&lt;style face="normal" font="default" size="100%"&gt;8&lt;/style&gt;&lt;/volume&gt;&lt;number&gt;&lt;style face="normal" font="default" size="100%"&gt;3&lt;/style&gt;&lt;/number&gt;&lt;dates&gt;&lt;year&gt;&lt;style face="normal" font="default" size="100%"&gt;2005&lt;/style&gt;&lt;/year&gt;&lt;/dates&gt;&lt;urls&gt;&lt;pdf-urls&gt;&lt;url&gt;internal-pdf://3707812689/vocation 2.pdf&lt;/url&gt;&lt;/pdf-urls&gt;&lt;/urls&gt;&lt;/record&gt;&lt;/Cite&gt;&lt;/EndNote&gt;</w:instrText>
      </w:r>
      <w:r>
        <w:rPr>
          <w:rStyle w:val="None"/>
          <w:rFonts w:ascii="Times New Roman" w:cs="Times New Roman" w:hAnsi="Times New Roman" w:eastAsia="Times New Roman"/>
          <w:sz w:val="24"/>
          <w:szCs w:val="24"/>
          <w:lang w:val="nl-NL"/>
        </w:rPr>
        <w:fldChar w:fldCharType="separate" w:fldLock="0"/>
      </w:r>
      <w:r>
        <w:rPr>
          <w:rStyle w:val="None"/>
          <w:rFonts w:ascii="Times New Roman" w:hAnsi="Times New Roman"/>
          <w:sz w:val="24"/>
          <w:szCs w:val="24"/>
          <w:rtl w:val="0"/>
          <w:lang w:val="nl-NL"/>
        </w:rPr>
        <w:t>(Buijs, 2005)</w:t>
      </w:r>
      <w:r>
        <w:rPr>
          <w:rStyle w:val="None"/>
          <w:rFonts w:ascii="Times New Roman" w:cs="Times New Roman" w:hAnsi="Times New Roman" w:eastAsia="Times New Roman"/>
          <w:sz w:val="24"/>
          <w:szCs w:val="24"/>
          <w:lang w:val="nl-NL"/>
        </w:rPr>
        <w:fldChar w:fldCharType="end" w:fldLock="0"/>
      </w:r>
      <w:r>
        <w:rPr>
          <w:rStyle w:val="None"/>
          <w:rFonts w:ascii="Times New Roman" w:hAns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This new refection and learning on my professional role had begun to shape my identity as a teacher:</w:t>
      </w: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lang w:val="en-US"/>
        </w:rPr>
        <w:tab/>
        <w:t>‘</w:t>
      </w:r>
      <w:r>
        <w:rPr>
          <w:rStyle w:val="None"/>
          <w:rFonts w:ascii="Times New Roman" w:hAnsi="Times New Roman"/>
          <w:sz w:val="24"/>
          <w:szCs w:val="24"/>
          <w:rtl w:val="0"/>
          <w:lang w:val="en-US"/>
        </w:rPr>
        <w:t xml:space="preserve">Reading about vocation in education. One article by Schwarz </w:t>
      </w:r>
      <w:r>
        <w:rPr>
          <w:rStyle w:val="None"/>
          <w:rFonts w:ascii="Times New Roman" w:cs="Times New Roman" w:hAnsi="Times New Roman" w:eastAsia="Times New Roman"/>
          <w:sz w:val="24"/>
          <w:szCs w:val="24"/>
          <w:lang w:val="de-DE"/>
        </w:rPr>
        <w:fldChar w:fldCharType="begin" w:fldLock="0"/>
      </w:r>
      <w:r>
        <w:rPr>
          <w:rStyle w:val="None"/>
          <w:rFonts w:ascii="Times New Roman" w:cs="Times New Roman" w:hAnsi="Times New Roman" w:eastAsia="Times New Roman"/>
          <w:sz w:val="24"/>
          <w:szCs w:val="24"/>
          <w:lang w:val="de-DE"/>
        </w:rPr>
        <w:instrText xml:space="preserve"> ADDIN EN.CITE &lt;EndNote&gt;&lt;Cite  &gt;&lt;Author&gt;Schwarz, Gretchen E.&lt;/Author&gt;&lt;Year&gt;1999&lt;/Year&gt;&lt;RecNum&gt;172&lt;/RecNum&gt;&lt;DisplayText&gt;(Schwarz, 1999)&lt;/DisplayText&gt;&lt;record&gt;&lt;database name="March 16.enl" path="/Users/helenwoodley1/Desktop/Endnote/March 16.enlp/March 16.enl"&gt;March 16.enl&lt;/database&gt;&lt;source-app name="EndNote" version="17.5"&gt;EndNote&lt;/source-app&gt;&lt;rec-number&gt;172&lt;/rec-number&gt;&lt;foreign-keys&gt;&lt;key app="EN" db-id="rsf955dd0z50eteweaxp52dgts99xtt925e9"&gt;172&lt;/key&gt;&lt;/foreign-keys&gt;&lt;ref-type name="Journal Article"&gt;17&lt;/ref-type&gt;&lt;contributors&gt;&lt;authors&gt;&lt;author&gt;&lt;style face="normal" font="default" size="100%"&gt;Schwarz, Gretchen E.&lt;/style&gt;&lt;/author&gt;&lt;/authors&gt;&lt;/contributors&gt;&lt;titles&gt;&lt;title&gt;&lt;style face="normal" font="default" size="100%"&gt;Teaching as Vocation: Enabling Ethical Practice&lt;/style&gt;&lt;/title&gt;&lt;secondary-title&gt;&lt;style face="normal" font="default" size="100%"&gt;The Educational Forum&lt;/style&gt;&lt;/secondary-title&gt;&lt;/titles&gt;&lt;periodical&gt;&lt;full-title&gt;&lt;style face="normal" font="default" size="100%"&gt;The Educational Forum&lt;/style&gt;&lt;/full-title&gt;&lt;/periodical&gt;&lt;pages&gt;&lt;style face="normal" font="default" size="100%"&gt;23-29&lt;/style&gt;&lt;/pages&gt;&lt;volume&gt;&lt;style face="normal" font="default" size="100%"&gt;63&lt;/style&gt;&lt;/volume&gt;&lt;number&gt;&lt;style face="normal" font="default" size="100%"&gt;1&lt;/style&gt;&lt;/number&gt;&lt;dates&gt;&lt;year&gt;&lt;style face="normal" font="default" size="100%"&gt;1999&lt;/style&gt;&lt;/year&gt;&lt;/dates&gt;&lt;isbn&gt;&lt;style face="normal" font="default" size="100%"&gt;0013-17251938-8098&lt;/style&gt;&lt;/isbn&gt;&lt;urls&gt;&lt;pdf-urls&gt;&lt;url&gt;internal-pdf://3687291597/vocation 1.pdf&lt;/url&gt;&lt;/pdf-urls&gt;&lt;/urls&gt;&lt;electronic-resource-num&gt;&lt;style face="normal" font="default" size="100%"&gt;10.1080/00131729808984383&lt;/style&gt;&lt;/electronic-resource-num&gt;&lt;/record&gt;&lt;/Cite&gt;&lt;/EndNote&gt;</w:instrText>
      </w:r>
      <w:r>
        <w:rPr>
          <w:rStyle w:val="None"/>
          <w:rFonts w:ascii="Times New Roman" w:cs="Times New Roman" w:hAnsi="Times New Roman" w:eastAsia="Times New Roman"/>
          <w:sz w:val="24"/>
          <w:szCs w:val="24"/>
          <w:lang w:val="de-DE"/>
        </w:rPr>
        <w:fldChar w:fldCharType="separate" w:fldLock="0"/>
      </w:r>
      <w:r>
        <w:rPr>
          <w:rStyle w:val="None"/>
          <w:rFonts w:ascii="Times New Roman" w:hAnsi="Times New Roman"/>
          <w:sz w:val="24"/>
          <w:szCs w:val="24"/>
          <w:rtl w:val="0"/>
          <w:lang w:val="de-DE"/>
        </w:rPr>
        <w:t>(Schwarz, 1999)</w:t>
      </w:r>
      <w:r>
        <w:rPr>
          <w:rStyle w:val="None"/>
          <w:rFonts w:ascii="Times New Roman" w:cs="Times New Roman" w:hAnsi="Times New Roman" w:eastAsia="Times New Roman"/>
          <w:sz w:val="24"/>
          <w:szCs w:val="24"/>
          <w:lang w:val="de-DE"/>
        </w:rPr>
        <w:fldChar w:fldCharType="end" w:fldLock="0"/>
      </w:r>
      <w:r>
        <w:rPr>
          <w:rStyle w:val="None"/>
          <w:rFonts w:ascii="Times New Roman" w:hAnsi="Times New Roman"/>
          <w:sz w:val="24"/>
          <w:szCs w:val="24"/>
          <w:rtl w:val="0"/>
          <w:lang w:val="en-US"/>
        </w:rPr>
        <w:t xml:space="preserve"> quotes </w:t>
        <w:tab/>
        <w:tab/>
        <w:t xml:space="preserve">Huebner </w:t>
      </w:r>
      <w:r>
        <w:rPr>
          <w:rStyle w:val="None"/>
          <w:rFonts w:ascii="Times New Roman" w:cs="Times New Roman" w:hAnsi="Times New Roman" w:eastAsia="Times New Roman"/>
          <w:sz w:val="24"/>
          <w:szCs w:val="24"/>
          <w:lang w:val="en-US"/>
        </w:rPr>
        <w:fldChar w:fldCharType="begin" w:fldLock="0"/>
      </w:r>
      <w:r>
        <w:rPr>
          <w:rStyle w:val="None"/>
          <w:rFonts w:ascii="Times New Roman" w:cs="Times New Roman" w:hAnsi="Times New Roman" w:eastAsia="Times New Roman"/>
          <w:sz w:val="24"/>
          <w:szCs w:val="24"/>
          <w:lang w:val="en-US"/>
        </w:rPr>
        <w:instrText xml:space="preserve"> ADDIN EN.CITE &lt;EndNote&gt;&lt;Cite  &gt;&lt;Author&gt;Huebner, Dwayne&lt;/Author&gt;&lt;Year&gt;1996&lt;/Year&gt;&lt;RecNum&gt;727&lt;/RecNum&gt;&lt;DisplayText&gt;(Huebner, 1996)&lt;/DisplayText&gt;&lt;record&gt;&lt;database name="March 16.enl" path="/Users/helenwoodley1/Desktop/Endnote/March 16.enlp/March 16.enl"&gt;March 16.enl&lt;/database&gt;&lt;source-app name="EndNote" version="17.5"&gt;EndNote&lt;/source-app&gt;&lt;rec-number&gt;727&lt;/rec-number&gt;&lt;foreign-keys&gt;&lt;key app="EN" db-id="rsf955dd0z50eteweaxp52dgts99xtt925e9"&gt;727&lt;/key&gt;&lt;/foreign-keys&gt;&lt;ref-type name="Journal Article"&gt;17&lt;/ref-type&gt;&lt;contributors&gt;&lt;authors&gt;&lt;author&gt;&lt;style face="normal" font="default" size="100%"&gt;Huebner, Dwayne&lt;/style&gt;&lt;/author&gt;&lt;/authors&gt;&lt;/contributors&gt;&lt;titles&gt;&lt;title&gt;&lt;style face="normal" font="default" size="100%"&gt;Educational foundations for dialogue&lt;/style&gt;&lt;/title&gt;&lt;secondary-title&gt;&lt;style face="normal" font="default" size="100%"&gt;Religious Education&lt;/style&gt;&lt;/secondary-title&gt;&lt;/titles&gt;&lt;periodical&gt;&lt;full-title&gt;&lt;style face="normal" font="default" size="100%"&gt;Religious Education&lt;/style&gt;&lt;/full-title&gt;&lt;/periodical&gt;&lt;pages&gt;&lt;style face="normal" font="default" size="100%"&gt;582-588&lt;/style&gt;&lt;/pages&gt;&lt;volume&gt;&lt;style face="normal" font="default" size="100%"&gt;91&lt;/style&gt;&lt;/volume&gt;&lt;number&gt;&lt;style face="normal" font="default" size="100%"&gt;4&lt;/style&gt;&lt;/number&gt;&lt;dates&gt;&lt;year&gt;&lt;style face="normal" font="default" size="100%"&gt;1996&lt;/style&gt;&lt;/year&gt;&lt;/dates&gt;&lt;isbn&gt;&lt;style face="normal" font="default" size="100%"&gt;0034-4087&lt;/style&gt;&lt;/isbn&gt;&lt;urls/&gt;&lt;/record&gt;&lt;/Cite&gt;&lt;/EndNote&gt;</w:instrText>
      </w:r>
      <w:r>
        <w:rPr>
          <w:rStyle w:val="None"/>
          <w:rFonts w:ascii="Times New Roman" w:cs="Times New Roman" w:hAnsi="Times New Roman" w:eastAsia="Times New Roman"/>
          <w:sz w:val="24"/>
          <w:szCs w:val="24"/>
          <w:lang w:val="en-US"/>
        </w:rPr>
        <w:fldChar w:fldCharType="separate" w:fldLock="0"/>
      </w:r>
      <w:r>
        <w:rPr>
          <w:rStyle w:val="None"/>
          <w:rFonts w:ascii="Times New Roman" w:hAnsi="Times New Roman"/>
          <w:sz w:val="24"/>
          <w:szCs w:val="24"/>
          <w:rtl w:val="0"/>
          <w:lang w:val="en-US"/>
        </w:rPr>
        <w:t>(Huebner, 1996)</w:t>
      </w:r>
      <w:r>
        <w:rPr>
          <w:rStyle w:val="None"/>
          <w:rFonts w:ascii="Times New Roman" w:cs="Times New Roman" w:hAnsi="Times New Roman" w:eastAsia="Times New Roman"/>
          <w:sz w:val="24"/>
          <w:szCs w:val="24"/>
          <w:lang w:val="en-US"/>
        </w:rPr>
        <w:fldChar w:fldCharType="end" w:fldLock="0"/>
      </w:r>
      <w:r>
        <w:rPr>
          <w:rStyle w:val="None"/>
          <w:rFonts w:ascii="Times New Roman" w:hAnsi="Times New Roman"/>
          <w:sz w:val="24"/>
          <w:szCs w:val="24"/>
          <w:rtl w:val="0"/>
          <w:lang w:val="en-US"/>
        </w:rPr>
        <w:t xml:space="preserve"> saying that vocation in teaching allows teachers to talk about </w:t>
        <w:tab/>
        <w:tab/>
        <w:t>feelings and themselves - I like!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So after all of that reading, what do I make of teaching as </w:t>
        <w:tab/>
        <w:t xml:space="preserve">a vocation?  I think I am more convinced that it is yet aware that the way we are judged is a </w:t>
        <w:tab/>
        <w:t>professional one with a set of standards etc.</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(3.3.13 Research Journal 2)</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Through this learning, I began to feel a sense of frustration that my professional voice, at odds with the dominant discourse of power, was unheard within the micro setting of my school and local area and the macro setting of the wider educational context within the UK.  An example of this frustration was when new restrictions were applied by the local area education department about the physical support that we could give pupils.  When we did use physical interventions it was not as a means of excising power or controlling behaviour: our rationale was to protect the young person, their peers and staff from injury.  However the education department in my local area had applied new rules across all schools that there was to be a wider range of more punitive measures put in place before physical intervention could be used.  Whilst I appreciated that, within the mainstream schools this had some value, I believed that this was at odds with the type of setting that I worked in and I was angry that there had been no scope to share my thoughts:</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w:t>
      </w:r>
      <w:r>
        <w:rPr>
          <w:rStyle w:val="None"/>
          <w:rFonts w:ascii="Times New Roman" w:hAnsi="Times New Roman"/>
          <w:sz w:val="24"/>
          <w:szCs w:val="24"/>
          <w:rtl w:val="0"/>
          <w:lang w:val="en-US"/>
        </w:rPr>
        <w:t xml:space="preserve">So my frustration is this. Change management.  How this was decided and translated to us </w:t>
        <w:tab/>
        <w:t xml:space="preserve">was by word of mouth. No discussion. No evaluation. No understanding of the job we do. </w:t>
        <w:tab/>
        <w:t xml:space="preserve">They want to cut exclusion rates and MIR rates  [major incident reports - the use of physical </w:t>
        <w:tab/>
        <w:t>intervention] but the effect on the rest of the pupils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learning is dramatic.</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(2.5.13 Research </w:t>
        <w:tab/>
        <w:t>Journal 2)</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My journals had allowed me to weave my own thoughts with my research and reading on wider issues.  They were a tangible record of my own adult learning and my developing voice as a teacher speaking against the dominant discourses of education.  Yet they remained private and book bound.  This was to change through the use of autoethnography when I realised that I could share my own learning at an academic level by sharing my own narratives in my thesis.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The use of autoethnography and as a means of sharing teacher voice and adult learning </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As I mentioned earlier, autoethnography was not a term that I was familiar with at the start of the research for my thesis.  In fact I was actually 6 months into my research having realised that my journals and emerging writing had become so focused on my own learning, that I stumbled across the method.  It was a chance reading of an article by Moriarty with title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leaving the blood in</w:t>
      </w:r>
      <w:r>
        <w:rPr>
          <w:rStyle w:val="None"/>
          <w:rFonts w:ascii="Times New Roman" w:hAnsi="Times New Roman" w:hint="default"/>
          <w:sz w:val="24"/>
          <w:szCs w:val="24"/>
          <w:rtl w:val="0"/>
          <w:lang w:val="en-US"/>
        </w:rPr>
        <w:t xml:space="preserve">’ </w:t>
      </w:r>
      <w:r>
        <w:rPr>
          <w:rStyle w:val="None"/>
          <w:rFonts w:ascii="Times New Roman" w:cs="Times New Roman" w:hAnsi="Times New Roman" w:eastAsia="Times New Roman"/>
          <w:sz w:val="24"/>
          <w:szCs w:val="24"/>
        </w:rPr>
        <w:fldChar w:fldCharType="begin" w:fldLock="0"/>
      </w:r>
      <w:r>
        <w:rPr>
          <w:rStyle w:val="None"/>
          <w:rFonts w:ascii="Times New Roman" w:cs="Times New Roman" w:hAnsi="Times New Roman" w:eastAsia="Times New Roman"/>
          <w:sz w:val="24"/>
          <w:szCs w:val="24"/>
        </w:rPr>
        <w:instrText xml:space="preserve"> ADDIN EN.CITE &lt;EndNote&gt;&lt;Cite  &gt;&lt;Author&gt;Moriarty, Jess&lt;/Author&gt;&lt;Year&gt;2013&lt;/Year&gt;&lt;RecNum&gt;472&lt;/RecNum&gt;&lt;DisplayText&gt;(Moriarty, 2013)&lt;/DisplayText&gt;&lt;record&gt;&lt;database name="March 16.enl" path="/Users/helenwoodley1/Desktop/Endnote/March 16.enlp/March 16.enl"&gt;March 16.enl&lt;/database&gt;&lt;source-app name="EndNote" version="17.5"&gt;EndNote&lt;/source-app&gt;&lt;rec-number&gt;472&lt;/rec-number&gt;&lt;foreign-keys&gt;&lt;key app="EN" db-id="rsf955dd0z50eteweaxp52dgts99xtt925e9"&gt;472&lt;/key&gt;&lt;/foreign-keys&gt;&lt;ref-type name="Book Section"&gt;5&lt;/ref-type&gt;&lt;contributors&gt;&lt;authors&gt;&lt;author&gt;&lt;style face="normal" font="default" size="100%"&gt;Moriarty, Jess&lt;/style&gt;&lt;/author&gt;&lt;/authors&gt;&lt;/contributors&gt;&lt;titles&gt;&lt;title&gt;&lt;style face="normal" font="default" size="100%"&gt;Leaving The Blood in&lt;/style&gt;&lt;/title&gt;&lt;secondary-title&gt;&lt;style face="normal" font="default" size="100%"&gt;Contemporary British Autoethnography&lt;/style&gt;&lt;/secondary-title&gt;&lt;/titles&gt;&lt;pages&gt;&lt;style face="normal" font="default" size="100%"&gt;63-78&lt;/style&gt;&lt;/pages&gt;&lt;dates&gt;&lt;year&gt;&lt;style face="normal" font="default" size="100%"&gt;2013&lt;/style&gt;&lt;/year&gt;&lt;/dates&gt;&lt;publisher&gt;&lt;style face="normal" font="default" size="100%"&gt;Springer&lt;/style&gt;&lt;/publisher&gt;&lt;isbn&gt;&lt;style face="normal" font="default" size="100%"&gt;9462094101&lt;/style&gt;&lt;/isbn&gt;&lt;urls/&gt;&lt;/record&gt;&lt;/Cite&gt;&lt;/EndNote&gt;</w:instrText>
      </w:r>
      <w:r>
        <w:rPr>
          <w:rStyle w:val="None"/>
          <w:rFonts w:ascii="Times New Roman" w:cs="Times New Roman" w:hAnsi="Times New Roman" w:eastAsia="Times New Roman"/>
          <w:sz w:val="24"/>
          <w:szCs w:val="24"/>
        </w:rPr>
        <w:fldChar w:fldCharType="separate" w:fldLock="0"/>
      </w:r>
      <w:r>
        <w:rPr>
          <w:rStyle w:val="None"/>
          <w:rFonts w:ascii="Times New Roman" w:hAnsi="Times New Roman"/>
          <w:sz w:val="24"/>
          <w:szCs w:val="24"/>
          <w:rtl w:val="0"/>
          <w:lang w:val="en-US"/>
        </w:rPr>
        <w:t>(Moriarty, 2013)</w:t>
      </w:r>
      <w:r>
        <w:rPr>
          <w:rStyle w:val="None"/>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 xml:space="preserve"> that made me realise that, without knowing it, I was writing autoethnographically.    The title summed up all that I felt about my own writing so far.  However I also realised that I had taken on a new battle with a new set of dominant discourses: traditional academia.  Moriarty sums this up succinctly:</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Pr>
        <w:tab/>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I suppose he helped me to believe that I could do it on my own terms but that I had to be </w:t>
        <w:tab/>
        <w:tab/>
        <w:t xml:space="preserve">realistic about what those terms were in relation to a dominant and oppressive discourse </w:t>
        <w:tab/>
        <w:tab/>
        <w:t xml:space="preserve">that had thrived for hundreds of years. Let me make it clear: I did not knock down any walls </w:t>
        <w:tab/>
        <w:t xml:space="preserve">when I completed my thesis but I tried to take part in helping those already at work building </w:t>
        <w:tab/>
        <w:t xml:space="preserve">the tunnel through, the bridge over and the road around the concrete mass that is </w:t>
        <w:tab/>
        <w:tab/>
        <w:tab/>
        <w:t>conventional academic research.</w:t>
      </w:r>
      <w:r>
        <w:rPr>
          <w:rStyle w:val="None"/>
          <w:rFonts w:ascii="Times New Roman" w:hAnsi="Times New Roman" w:hint="default"/>
          <w:sz w:val="24"/>
          <w:szCs w:val="24"/>
          <w:rtl w:val="0"/>
          <w:lang w:val="en-US"/>
        </w:rPr>
        <w:t xml:space="preserve">’ </w:t>
      </w:r>
      <w:r>
        <w:rPr>
          <w:rStyle w:val="None"/>
          <w:rFonts w:ascii="Times New Roman" w:cs="Times New Roman" w:hAnsi="Times New Roman" w:eastAsia="Times New Roman"/>
          <w:sz w:val="24"/>
          <w:szCs w:val="24"/>
        </w:rPr>
        <w:fldChar w:fldCharType="begin" w:fldLock="0"/>
      </w:r>
      <w:r>
        <w:rPr>
          <w:rStyle w:val="None"/>
          <w:rFonts w:ascii="Times New Roman" w:cs="Times New Roman" w:hAnsi="Times New Roman" w:eastAsia="Times New Roman"/>
          <w:sz w:val="24"/>
          <w:szCs w:val="24"/>
        </w:rPr>
        <w:instrText xml:space="preserve"> ADDIN EN.CITE &lt;EndNote&gt;&lt;Cite  &gt;&lt;Author&gt;Moriarty, Jess&lt;/Author&gt;&lt;Year&gt;2013&lt;/Year&gt;&lt;RecNum&gt;472&lt;/RecNum&gt;&lt;Suffix&gt; ,p.75&lt;/Suffix&gt;&lt;DisplayText&gt;(Moriarty, 2013 ,p.75)&lt;/DisplayText&gt;&lt;record&gt;&lt;database name="March 16.enl" path="/Users/helenwoodley1/Desktop/Endnote/March 16.enlp/March 16.enl"&gt;March 16.enl&lt;/database&gt;&lt;source-app name="EndNote" version="17.5"&gt;EndNote&lt;/source-app&gt;&lt;rec-number&gt;472&lt;/rec-number&gt;&lt;foreign-keys&gt;&lt;key app="EN" db-id="rsf955dd0z50eteweaxp52dgts99xtt925e9"&gt;472&lt;/key&gt;&lt;/foreign-keys&gt;&lt;ref-type name="Book Section"&gt;5&lt;/ref-type&gt;&lt;contributors&gt;&lt;authors&gt;&lt;author&gt;&lt;style face="normal" font="default" size="100%"&gt;Moriarty, Jess&lt;/style&gt;&lt;/author&gt;&lt;/authors&gt;&lt;/contributors&gt;&lt;titles&gt;&lt;title&gt;&lt;style face="normal" font="default" size="100%"&gt;Leaving The Blood in&lt;/style&gt;&lt;/title&gt;&lt;secondary-title&gt;&lt;style face="normal" font="default" size="100%"&gt;Contemporary British Autoethnography&lt;/style&gt;&lt;/secondary-title&gt;&lt;/titles&gt;&lt;pages&gt;&lt;style face="normal" font="default" size="100%"&gt;63-78&lt;/style&gt;&lt;/pages&gt;&lt;dates&gt;&lt;year&gt;&lt;style face="normal" font="default" size="100%"&gt;2013&lt;/style&gt;&lt;/year&gt;&lt;/dates&gt;&lt;publisher&gt;&lt;style face="normal" font="default" size="100%"&gt;Springer&lt;/style&gt;&lt;/publisher&gt;&lt;isbn&gt;&lt;style face="normal" font="default" size="100%"&gt;9462094101&lt;/style&gt;&lt;/isbn&gt;&lt;urls/&gt;&lt;/record&gt;&lt;/Cite&gt;&lt;/EndNote&gt;</w:instrText>
      </w:r>
      <w:r>
        <w:rPr>
          <w:rStyle w:val="None"/>
          <w:rFonts w:ascii="Times New Roman" w:cs="Times New Roman" w:hAnsi="Times New Roman" w:eastAsia="Times New Roman"/>
          <w:sz w:val="24"/>
          <w:szCs w:val="24"/>
        </w:rPr>
        <w:fldChar w:fldCharType="separate" w:fldLock="0"/>
      </w:r>
      <w:r>
        <w:rPr>
          <w:rStyle w:val="None"/>
          <w:rFonts w:ascii="Times New Roman" w:hAnsi="Times New Roman"/>
          <w:sz w:val="24"/>
          <w:szCs w:val="24"/>
          <w:rtl w:val="0"/>
          <w:lang w:val="en-US"/>
        </w:rPr>
        <w:t>(Moriarty, 2013 ,p.75)</w:t>
      </w:r>
      <w:r>
        <w:rPr>
          <w:rStyle w:val="None"/>
          <w:rFonts w:ascii="Times New Roman" w:cs="Times New Roman" w:hAnsi="Times New Roman" w:eastAsia="Times New Roman"/>
          <w:sz w:val="24"/>
          <w:szCs w:val="24"/>
        </w:rPr>
        <w:fldChar w:fldCharType="end" w:fldLock="0"/>
      </w:r>
    </w:p>
    <w:p>
      <w:pPr>
        <w:pStyle w:val="Body A"/>
        <w:spacing w:line="480" w:lineRule="auto"/>
        <w:rPr>
          <w:rFonts w:ascii="Times New Roman" w:cs="Times New Roman" w:hAnsi="Times New Roman" w:eastAsia="Times New Roman"/>
          <w:b w:val="1"/>
          <w:bCs w:val="1"/>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Whilst I found some validity in the criticisms of the method as discussed by Delamont </w:t>
      </w:r>
      <w:r>
        <w:rPr>
          <w:rStyle w:val="None"/>
          <w:rFonts w:ascii="Times New Roman" w:cs="Times New Roman" w:hAnsi="Times New Roman" w:eastAsia="Times New Roman"/>
          <w:sz w:val="24"/>
          <w:szCs w:val="24"/>
        </w:rPr>
        <w:fldChar w:fldCharType="begin" w:fldLock="0"/>
      </w:r>
      <w:r>
        <w:rPr>
          <w:rStyle w:val="None"/>
          <w:rFonts w:ascii="Times New Roman" w:cs="Times New Roman" w:hAnsi="Times New Roman" w:eastAsia="Times New Roman"/>
          <w:sz w:val="24"/>
          <w:szCs w:val="24"/>
        </w:rPr>
        <w:instrText xml:space="preserve"> ADDIN EN.CITE &lt;EndNote&gt;&lt;Cite  &gt;&lt;Author&gt;Delamont, Sara&lt;/Author&gt;&lt;Year&gt;2009&lt;/Year&gt;&lt;RecNum&gt;662&lt;/RecNum&gt;&lt;DisplayText&gt;(Delamont, 2009)&lt;/DisplayText&gt;&lt;record&gt;&lt;database name="March 16.enl" path="/Users/helenwoodley1/Desktop/Endnote/March 16.enlp/March 16.enl"&gt;March 16.enl&lt;/database&gt;&lt;source-app name="EndNote" version="17.5"&gt;EndNote&lt;/source-app&gt;&lt;rec-number&gt;662&lt;/rec-number&gt;&lt;foreign-keys&gt;&lt;key app="EN" db-id="rsf955dd0z50eteweaxp52dgts99xtt925e9"&gt;662&lt;/key&gt;&lt;key app="ENWeb" db-id=""&gt;0&lt;/key&gt;&lt;/foreign-keys&gt;&lt;ref-type name="Journal Article"&gt;17&lt;/ref-type&gt;&lt;contributors&gt;&lt;authors&gt;&lt;author&gt;&lt;style face="normal" font="default" size="100%"&gt;Delamont, Sara&lt;/style&gt;&lt;/author&gt;&lt;/authors&gt;&lt;/contributors&gt;&lt;titles&gt;&lt;title&gt;&lt;style face="normal" font="default" size="100%"&gt;The only honest thing: autoethnography, reflexivity and small crises in fieldwork&lt;/style&gt;&lt;/title&gt;&lt;secondary-title&gt;&lt;style face="normal" font="default" size="100%"&gt;Ethnography and Education&lt;/style&gt;&lt;/secondary-title&gt;&lt;/titles&gt;&lt;periodical&gt;&lt;full-title&gt;&lt;style face="normal" font="default" size="100%"&gt;Ethnography and Education&lt;/style&gt;&lt;/full-title&gt;&lt;/periodical&gt;&lt;pages&gt;&lt;style face="normal" font="default" size="100%"&gt;51-63&lt;/style&gt;&lt;/pages&gt;&lt;volume&gt;&lt;style face="normal" font="default" size="100%"&gt;4&lt;/style&gt;&lt;/volume&gt;&lt;number&gt;&lt;style face="normal" font="default" size="100%"&gt;1&lt;/style&gt;&lt;/number&gt;&lt;dates&gt;&lt;year&gt;&lt;style face="normal" font="default" size="100%"&gt;2009&lt;/style&gt;&lt;/year&gt;&lt;/dates&gt;&lt;isbn&gt;&lt;style face="normal" font="default" size="100%"&gt;1745-7823 1745-7831&lt;/style&gt;&lt;/isbn&gt;&lt;urls&gt;&lt;pdf-urls&gt;&lt;url&gt;internal-pdf://3006968068/17457820802703507.pdf&lt;/url&gt;&lt;/pdf-urls&gt;&lt;/urls&gt;&lt;electronic-resource-num&gt;&lt;style face="normal" font="default" size="100%"&gt;10.1080/17457820802703507&lt;/style&gt;&lt;/electronic-resource-num&gt;&lt;/record&gt;&lt;/Cite&gt;&lt;/EndNote&gt;</w:instrText>
      </w:r>
      <w:r>
        <w:rPr>
          <w:rStyle w:val="None"/>
          <w:rFonts w:ascii="Times New Roman" w:cs="Times New Roman" w:hAnsi="Times New Roman" w:eastAsia="Times New Roman"/>
          <w:sz w:val="24"/>
          <w:szCs w:val="24"/>
        </w:rPr>
        <w:fldChar w:fldCharType="separate" w:fldLock="0"/>
      </w:r>
      <w:r>
        <w:rPr>
          <w:rStyle w:val="None"/>
          <w:rFonts w:ascii="Times New Roman" w:hAnsi="Times New Roman"/>
          <w:sz w:val="24"/>
          <w:szCs w:val="24"/>
          <w:rtl w:val="0"/>
          <w:lang w:val="en-US"/>
        </w:rPr>
        <w:t>(Delamont, 2009)</w:t>
      </w:r>
      <w:r>
        <w:rPr>
          <w:rStyle w:val="None"/>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 xml:space="preserve">, I found a greater wealth of material about the use of autoethnography to share adult experiences of their own learning in an open and accessible way.  Although the evocative nature of some of this writing, such as that by Ellis </w:t>
      </w:r>
      <w:r>
        <w:rPr>
          <w:rStyle w:val="None"/>
          <w:rFonts w:ascii="Times New Roman" w:cs="Times New Roman" w:hAnsi="Times New Roman" w:eastAsia="Times New Roman"/>
          <w:sz w:val="24"/>
          <w:szCs w:val="24"/>
        </w:rPr>
        <w:fldChar w:fldCharType="begin" w:fldLock="0"/>
      </w:r>
      <w:r>
        <w:rPr>
          <w:rStyle w:val="None"/>
          <w:rFonts w:ascii="Times New Roman" w:cs="Times New Roman" w:hAnsi="Times New Roman" w:eastAsia="Times New Roman"/>
          <w:sz w:val="24"/>
          <w:szCs w:val="24"/>
        </w:rPr>
        <w:instrText xml:space="preserve"> ADDIN EN.CITE &lt;EndNote&gt;&lt;Cite  &gt;&lt;Author&gt;Ellis, Carolyn&lt;/Author&gt;&lt;Year&gt;2004&lt;/Year&gt;&lt;RecNum&gt;396&lt;/RecNum&gt;&lt;DisplayText&gt;(Ellis, 2004)&lt;/DisplayText&gt;&lt;record&gt;&lt;database name="March 16.enl" path="/Users/helenwoodley1/Desktop/Endnote/March 16.enlp/March 16.enl"&gt;March 16.enl&lt;/database&gt;&lt;source-app name="EndNote" version="17.5"&gt;EndNote&lt;/source-app&gt;&lt;rec-number&gt;396&lt;/rec-number&gt;&lt;foreign-keys&gt;&lt;key app="EN" db-id="rsf955dd0z50eteweaxp52dgts99xtt925e9"&gt;396&lt;/key&gt;&lt;/foreign-keys&gt;&lt;ref-type name="Book"&gt;6&lt;/ref-type&gt;&lt;contributors&gt;&lt;authors&gt;&lt;author&gt;&lt;style face="normal" font="default" size="100%"&gt;Ellis, Carolyn&lt;/style&gt;&lt;/author&gt;&lt;/authors&gt;&lt;/contributors&gt;&lt;titles&gt;&lt;title&gt;&lt;style face="normal" font="default" size="100%"&gt;The ethnographic I: A methodological novel about autoethnography&lt;/style&gt;&lt;/title&gt;&lt;/titles&gt;&lt;dates&gt;&lt;year&gt;&lt;style face="normal" font="default" size="100%"&gt;2004&lt;/style&gt;&lt;/year&gt;&lt;/dates&gt;&lt;publisher&gt;&lt;style face="normal" font="default" size="100%"&gt;Rowman Altamira&lt;/style&gt;&lt;/publisher&gt;&lt;isbn&gt;&lt;style face="normal" font="default" size="100%"&gt;0759115869&lt;/style&gt;&lt;/isbn&gt;&lt;urls/&gt;&lt;/record&gt;&lt;/Cite&gt;&lt;/EndNote&gt;</w:instrText>
      </w:r>
      <w:r>
        <w:rPr>
          <w:rStyle w:val="None"/>
          <w:rFonts w:ascii="Times New Roman" w:cs="Times New Roman" w:hAnsi="Times New Roman" w:eastAsia="Times New Roman"/>
          <w:sz w:val="24"/>
          <w:szCs w:val="24"/>
        </w:rPr>
        <w:fldChar w:fldCharType="separate" w:fldLock="0"/>
      </w:r>
      <w:r>
        <w:rPr>
          <w:rStyle w:val="None"/>
          <w:rFonts w:ascii="Times New Roman" w:hAnsi="Times New Roman"/>
          <w:sz w:val="24"/>
          <w:szCs w:val="24"/>
          <w:rtl w:val="0"/>
          <w:lang w:val="en-US"/>
        </w:rPr>
        <w:t>(Ellis, 2004)</w:t>
      </w:r>
      <w:r>
        <w:rPr>
          <w:rStyle w:val="None"/>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 xml:space="preserve">, was not something that I felt professionally comfortable with I encountered writing by a range of people involved within education.  One author who became important for my own research was Clough </w:t>
      </w:r>
      <w:r>
        <w:rPr>
          <w:rStyle w:val="None"/>
          <w:rFonts w:ascii="Times New Roman" w:cs="Times New Roman" w:hAnsi="Times New Roman" w:eastAsia="Times New Roman"/>
          <w:sz w:val="24"/>
          <w:szCs w:val="24"/>
        </w:rPr>
        <w:fldChar w:fldCharType="begin" w:fldLock="0"/>
      </w:r>
      <w:r>
        <w:rPr>
          <w:rStyle w:val="None"/>
          <w:rFonts w:ascii="Times New Roman" w:cs="Times New Roman" w:hAnsi="Times New Roman" w:eastAsia="Times New Roman"/>
          <w:sz w:val="24"/>
          <w:szCs w:val="24"/>
        </w:rPr>
        <w:instrText xml:space="preserve"> ADDIN EN.CITE &lt;EndNote&gt;&lt;Cite  &gt;&lt;Author&gt;Clough, Peter&lt;/Author&gt;&lt;Year&gt;2002&lt;/Year&gt;&lt;RecNum&gt;640&lt;/RecNum&gt;&lt;DisplayText&gt;(Clough, 2002)&lt;/DisplayText&gt;&lt;record&gt;&lt;database name="March 16.enl" path="/Users/helenwoodley1/Desktop/Endnote/March 16.enlp/March 16.enl"&gt;March 16.enl&lt;/database&gt;&lt;source-app name="EndNote" version="17.5"&gt;EndNote&lt;/source-app&gt;&lt;rec-number&gt;640&lt;/rec-number&gt;&lt;foreign-keys&gt;&lt;key app="EN" db-id="rsf955dd0z50eteweaxp52dgts99xtt925e9"&gt;640&lt;/key&gt;&lt;/foreign-keys&gt;&lt;ref-type name="Book"&gt;6&lt;/ref-type&gt;&lt;contributors&gt;&lt;authors&gt;&lt;author&gt;&lt;style face="normal" font="default" size="100%"&gt;Clough, Peter&lt;/style&gt;&lt;/author&gt;&lt;/authors&gt;&lt;/contributors&gt;&lt;titles&gt;&lt;title&gt;&lt;style face="normal" font="default" size="100%"&gt;Narratives and fictions in educational research&lt;/style&gt;&lt;/title&gt;&lt;/titles&gt;&lt;dates&gt;&lt;year&gt;&lt;style face="normal" font="default" size="100%"&gt;2002&lt;/style&gt;&lt;/year&gt;&lt;/dates&gt;&lt;publisher&gt;&lt;style face="normal" font="default" size="100%"&gt;Open Univ Pr&lt;/style&gt;&lt;/publisher&gt;&lt;isbn&gt;&lt;style face="normal" font="default" size="100%"&gt;0335207928&lt;/style&gt;&lt;/isbn&gt;&lt;urls/&gt;&lt;/record&gt;&lt;/Cite&gt;&lt;/EndNote&gt;</w:instrText>
      </w:r>
      <w:r>
        <w:rPr>
          <w:rStyle w:val="None"/>
          <w:rFonts w:ascii="Times New Roman" w:cs="Times New Roman" w:hAnsi="Times New Roman" w:eastAsia="Times New Roman"/>
          <w:sz w:val="24"/>
          <w:szCs w:val="24"/>
        </w:rPr>
        <w:fldChar w:fldCharType="separate" w:fldLock="0"/>
      </w:r>
      <w:r>
        <w:rPr>
          <w:rStyle w:val="None"/>
          <w:rFonts w:ascii="Times New Roman" w:hAnsi="Times New Roman"/>
          <w:sz w:val="24"/>
          <w:szCs w:val="24"/>
          <w:rtl w:val="0"/>
          <w:lang w:val="en-US"/>
        </w:rPr>
        <w:t>(Clough, 2002)</w:t>
      </w:r>
      <w:r>
        <w:rPr>
          <w:rStyle w:val="None"/>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 xml:space="preserve"> who wrote about his own experiences as a teacher using fictionalised narratives to protect his professional identity.  This went beyond simply anonymising his writing as he created entire scenes and situations that had not necessarily happened in the manner he presented them, yet contained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truth</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of the events that had occurred.  </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Combining both autoethnography and fictionalisation in this way enabled me to discuss my learning experiences in my thesis, share my voice as a teacher and show an alternative educational discourse whilst maintaining the professionalism required of me from my role as a teacher. </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Summary</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this paper I have highlighted the current dominant discourses within the UK education system  and have shown how the use of journals, the space that they create to express voice, can be used to offer a different discourse.  I have shown how the use of journals as a tool used by adult learners can have developmental states enabling us to gradually form and shape our voice. </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Finally I have discussed how this personal learning can be used to develop academic writing in conjunction with autoethnographic method.   </w:t>
      </w:r>
    </w:p>
    <w:p>
      <w:pPr>
        <w:pStyle w:val="Body A"/>
        <w:spacing w:line="480" w:lineRule="auto"/>
        <w:rPr>
          <w:rFonts w:ascii="Times New Roman" w:cs="Times New Roman" w:hAnsi="Times New Roman" w:eastAsia="Times New Roman"/>
          <w:sz w:val="24"/>
          <w:szCs w:val="24"/>
        </w:rPr>
      </w:pPr>
    </w:p>
    <w:p>
      <w:pPr>
        <w:pStyle w:val="Body A"/>
        <w:spacing w:line="48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Conclusions</w:t>
      </w:r>
    </w:p>
    <w:p>
      <w:pPr>
        <w:pStyle w:val="Body A"/>
        <w:spacing w:line="480" w:lineRule="auto"/>
      </w:pPr>
      <w:r>
        <w:rPr>
          <w:rStyle w:val="None"/>
          <w:rFonts w:ascii="Times New Roman" w:hAnsi="Times New Roman"/>
          <w:sz w:val="24"/>
          <w:szCs w:val="24"/>
          <w:rtl w:val="0"/>
          <w:lang w:val="en-US"/>
        </w:rPr>
        <w:t xml:space="preserve">In conclusion, lifelong learning within the teaching profession, and the continued development of teacher voices to counter the dominant discourses, is crucial in shaping the education system at a micro.  Future research would be beneficial in mapping the influence that such learning has at the macro level of Government policy. </w:t>
      </w:r>
      <w:r>
        <w:rPr>
          <w:rStyle w:val="None"/>
          <w:rFonts w:ascii="Arial Unicode MS" w:cs="Arial Unicode MS" w:hAnsi="Arial Unicode MS" w:eastAsia="Arial Unicode MS"/>
          <w:b w:val="0"/>
          <w:bCs w:val="0"/>
          <w:i w:val="0"/>
          <w:iCs w:val="0"/>
          <w:sz w:val="24"/>
          <w:szCs w:val="24"/>
        </w:rPr>
        <w:br w:type="page"/>
      </w:r>
    </w:p>
    <w:p>
      <w:pPr>
        <w:pStyle w:val="Heading"/>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Bibliography</w:t>
      </w:r>
    </w:p>
    <w:p>
      <w:pPr>
        <w:pStyle w:val="Body A"/>
      </w:pPr>
      <w:r>
        <w:rPr/>
        <w:fldChar w:fldCharType="begin" w:fldLock="0"/>
      </w:r>
      <w:r>
        <w:instrText xml:space="preserve"> ADDIN EN.REFLIST </w:instrText>
      </w:r>
      <w:r>
        <w:rPr/>
        <w:fldChar w:fldCharType="separate" w:fldLock="0"/>
      </w:r>
    </w:p>
    <w:p>
      <w:pPr>
        <w:pStyle w:val="Body A"/>
      </w:pPr>
    </w:p>
    <w:p>
      <w:pPr>
        <w:pStyle w:val="Body A"/>
      </w:pPr>
      <w:r>
        <w:rPr>
          <w:rtl w:val="0"/>
        </w:rPr>
        <w:t>&lt;Dfe_Cons_Overview_Document_Template_for_World_Class_Teachers_Consultation_Voo3br.Pdf&gt;.</w:t>
      </w:r>
    </w:p>
    <w:p>
      <w:pPr>
        <w:pStyle w:val="Body A"/>
      </w:pPr>
      <w:r>
        <w:rPr>
          <w:rtl w:val="0"/>
        </w:rPr>
        <w:t xml:space="preserve">Britzman, D. 1986. Cultural Myths in the Making of a Teacher: Biography and Social Structure in Teacher Education. </w:t>
      </w:r>
      <w:r>
        <w:rPr>
          <w:rStyle w:val="None"/>
          <w:i w:val="1"/>
          <w:iCs w:val="1"/>
          <w:rtl w:val="0"/>
          <w:lang w:val="en-US"/>
        </w:rPr>
        <w:t>Harvard Educational Review,</w:t>
      </w:r>
      <w:r>
        <w:rPr>
          <w:rtl w:val="0"/>
        </w:rPr>
        <w:t xml:space="preserve"> 56</w:t>
      </w:r>
      <w:r>
        <w:rPr>
          <w:rStyle w:val="None"/>
          <w:b w:val="1"/>
          <w:bCs w:val="1"/>
          <w:rtl w:val="0"/>
          <w:lang w:val="en-US"/>
        </w:rPr>
        <w:t>,</w:t>
      </w:r>
      <w:r>
        <w:rPr>
          <w:rtl w:val="0"/>
        </w:rPr>
        <w:t xml:space="preserve"> 442-457.</w:t>
      </w:r>
    </w:p>
    <w:p>
      <w:pPr>
        <w:pStyle w:val="Body A"/>
      </w:pPr>
      <w:r>
        <w:rPr>
          <w:rtl w:val="0"/>
        </w:rPr>
        <w:t>Buijs, J. 2005. Teaching: Profession or Vocation? Catholic Education: A Journal of Inquiry and Practice, 8</w:t>
      </w:r>
      <w:r>
        <w:rPr>
          <w:rStyle w:val="None"/>
          <w:b w:val="1"/>
          <w:bCs w:val="1"/>
          <w:rtl w:val="0"/>
          <w:lang w:val="en-US"/>
        </w:rPr>
        <w:t>,</w:t>
      </w:r>
      <w:r>
        <w:rPr>
          <w:rtl w:val="0"/>
        </w:rPr>
        <w:t xml:space="preserve"> 326 - 345.</w:t>
      </w:r>
    </w:p>
    <w:p>
      <w:pPr>
        <w:pStyle w:val="Body A"/>
      </w:pPr>
      <w:r>
        <w:rPr>
          <w:rtl w:val="0"/>
        </w:rPr>
        <w:t>Clough, P. 2002. Narratives and Fictions in Educational Research, Open Univ Pr.</w:t>
      </w:r>
    </w:p>
    <w:p>
      <w:pPr>
        <w:pStyle w:val="Body A"/>
      </w:pPr>
      <w:r>
        <w:rPr>
          <w:rtl w:val="0"/>
        </w:rPr>
        <w:t xml:space="preserve">Delamont, S. 2009. The Only Honest Thing: Autoethnography, Reflexivity and Small Crises in Fieldwork. </w:t>
      </w:r>
      <w:r>
        <w:rPr>
          <w:rStyle w:val="None"/>
          <w:i w:val="1"/>
          <w:iCs w:val="1"/>
          <w:rtl w:val="0"/>
          <w:lang w:val="en-US"/>
        </w:rPr>
        <w:t>Ethnography and Education,</w:t>
      </w:r>
      <w:r>
        <w:rPr>
          <w:rtl w:val="0"/>
        </w:rPr>
        <w:t xml:space="preserve"> 4</w:t>
      </w:r>
      <w:r>
        <w:rPr>
          <w:rStyle w:val="None"/>
          <w:b w:val="1"/>
          <w:bCs w:val="1"/>
          <w:rtl w:val="0"/>
          <w:lang w:val="en-US"/>
        </w:rPr>
        <w:t>,</w:t>
      </w:r>
      <w:r>
        <w:rPr>
          <w:rtl w:val="0"/>
        </w:rPr>
        <w:t xml:space="preserve"> 51-63.</w:t>
      </w:r>
    </w:p>
    <w:p>
      <w:pPr>
        <w:pStyle w:val="Body A"/>
      </w:pPr>
      <w:r>
        <w:rPr>
          <w:rStyle w:val="None"/>
          <w:rtl w:val="0"/>
          <w:lang w:val="en-US"/>
        </w:rPr>
        <w:t xml:space="preserve">Delpit, L. 1988. The Silenced Dialogue: Power and Pedagogy in Educating Other People's Children. </w:t>
      </w:r>
      <w:r>
        <w:rPr>
          <w:rStyle w:val="None"/>
          <w:i w:val="1"/>
          <w:iCs w:val="1"/>
          <w:rtl w:val="0"/>
          <w:lang w:val="en-US"/>
        </w:rPr>
        <w:t>Harvard educational review,</w:t>
      </w:r>
      <w:r>
        <w:rPr>
          <w:rStyle w:val="None"/>
          <w:rtl w:val="0"/>
          <w:lang w:val="ru-RU"/>
        </w:rPr>
        <w:t xml:space="preserve"> 58</w:t>
      </w:r>
      <w:r>
        <w:rPr>
          <w:rStyle w:val="None"/>
          <w:b w:val="1"/>
          <w:bCs w:val="1"/>
          <w:rtl w:val="0"/>
          <w:lang w:val="en-US"/>
        </w:rPr>
        <w:t>,</w:t>
      </w:r>
      <w:r>
        <w:rPr>
          <w:rStyle w:val="None"/>
          <w:rtl w:val="0"/>
          <w:lang w:val="en-US"/>
        </w:rPr>
        <w:t xml:space="preserve"> 280-299.</w:t>
      </w:r>
    </w:p>
    <w:p>
      <w:pPr>
        <w:pStyle w:val="Body A"/>
      </w:pPr>
      <w:r>
        <w:rPr>
          <w:rtl w:val="0"/>
        </w:rPr>
        <w:t>Dfe 2012. Exclusion from Maintained Schools Academies and Pupil Referral Units.</w:t>
      </w:r>
    </w:p>
    <w:p>
      <w:pPr>
        <w:pStyle w:val="Body A"/>
      </w:pPr>
      <w:r>
        <w:rPr>
          <w:rtl w:val="0"/>
        </w:rPr>
        <w:t>Dfe 2015. Use of Reasonable Force.</w:t>
      </w:r>
    </w:p>
    <w:p>
      <w:pPr>
        <w:pStyle w:val="Body A"/>
      </w:pPr>
      <w:r>
        <w:rPr>
          <w:rtl w:val="0"/>
        </w:rPr>
        <w:t>Dfe 2016. Behaviour and Discipline in Schools - a Guide for Headteachers and School Staff.</w:t>
      </w:r>
    </w:p>
    <w:p>
      <w:pPr>
        <w:pStyle w:val="Body A"/>
      </w:pPr>
      <w:r>
        <w:rPr>
          <w:rStyle w:val="None"/>
          <w:rtl w:val="0"/>
          <w:lang w:val="en-US"/>
        </w:rPr>
        <w:t>Ellis, C. 2004. The Ethnographic I: A Methodological Novel About Autoethnography</w:t>
      </w:r>
      <w:r>
        <w:rPr>
          <w:rStyle w:val="None"/>
          <w:rtl w:val="0"/>
          <w:lang w:val="it-IT"/>
        </w:rPr>
        <w:t>, Rowman Altamira.</w:t>
      </w:r>
    </w:p>
    <w:p>
      <w:pPr>
        <w:pStyle w:val="Body A"/>
      </w:pPr>
      <w:r>
        <w:rPr>
          <w:rStyle w:val="None"/>
          <w:rtl w:val="0"/>
          <w:lang w:val="pt-PT"/>
        </w:rPr>
        <w:t xml:space="preserve">Foucault, M. 1972/1995. </w:t>
      </w:r>
      <w:r>
        <w:rPr>
          <w:rStyle w:val="None"/>
          <w:i w:val="1"/>
          <w:iCs w:val="1"/>
          <w:rtl w:val="0"/>
          <w:lang w:val="en-US"/>
        </w:rPr>
        <w:t>Archaeology of Knowledge</w:t>
      </w:r>
      <w:r>
        <w:rPr>
          <w:rStyle w:val="None"/>
          <w:rtl w:val="0"/>
          <w:lang w:val="en-US"/>
        </w:rPr>
        <w:t>, Routledge.</w:t>
      </w:r>
    </w:p>
    <w:p>
      <w:pPr>
        <w:pStyle w:val="Body A"/>
      </w:pPr>
      <w:r>
        <w:rPr>
          <w:rtl w:val="0"/>
        </w:rPr>
        <w:t xml:space="preserve">Huebner, D. 1996. Educational Foundations for Dialogue. </w:t>
      </w:r>
      <w:r>
        <w:rPr>
          <w:rStyle w:val="None"/>
          <w:i w:val="1"/>
          <w:iCs w:val="1"/>
          <w:rtl w:val="0"/>
          <w:lang w:val="en-US"/>
        </w:rPr>
        <w:t>Religious Education,</w:t>
      </w:r>
      <w:r>
        <w:rPr>
          <w:rtl w:val="0"/>
        </w:rPr>
        <w:t xml:space="preserve"> 91</w:t>
      </w:r>
      <w:r>
        <w:rPr>
          <w:rStyle w:val="None"/>
          <w:b w:val="1"/>
          <w:bCs w:val="1"/>
          <w:rtl w:val="0"/>
          <w:lang w:val="en-US"/>
        </w:rPr>
        <w:t>,</w:t>
      </w:r>
      <w:r>
        <w:rPr>
          <w:rtl w:val="0"/>
        </w:rPr>
        <w:t xml:space="preserve"> 582-588.</w:t>
      </w:r>
    </w:p>
    <w:p>
      <w:pPr>
        <w:pStyle w:val="Body A"/>
      </w:pPr>
      <w:r>
        <w:rPr>
          <w:rtl w:val="0"/>
        </w:rPr>
        <w:t xml:space="preserve">Marion Engin 2011. Research Diary: A Tool for Scaffolding. </w:t>
      </w:r>
      <w:r>
        <w:rPr>
          <w:rStyle w:val="None"/>
          <w:i w:val="1"/>
          <w:iCs w:val="1"/>
          <w:rtl w:val="0"/>
          <w:lang w:val="en-US"/>
        </w:rPr>
        <w:t>International Journal of Qualitative Methods,</w:t>
      </w:r>
      <w:r>
        <w:rPr>
          <w:rtl w:val="0"/>
        </w:rPr>
        <w:t xml:space="preserve"> 10.</w:t>
      </w:r>
    </w:p>
    <w:p>
      <w:pPr>
        <w:pStyle w:val="Body A"/>
      </w:pPr>
      <w:r>
        <w:rPr>
          <w:rtl w:val="0"/>
        </w:rPr>
        <w:t>Moon, J. A. 1999. Learning Journals: A Handbook for Academics, Students and Professional Development, Routledge.</w:t>
      </w:r>
    </w:p>
    <w:p>
      <w:pPr>
        <w:pStyle w:val="Body A"/>
      </w:pPr>
      <w:r>
        <w:rPr>
          <w:rtl w:val="0"/>
        </w:rPr>
        <w:t xml:space="preserve">Moriarty, J. 2013. Leaving the Blood In. </w:t>
      </w:r>
      <w:r>
        <w:rPr>
          <w:rStyle w:val="None"/>
          <w:i w:val="1"/>
          <w:iCs w:val="1"/>
          <w:rtl w:val="0"/>
          <w:lang w:val="en-US"/>
        </w:rPr>
        <w:t>Contemporary British Autoethnography.</w:t>
      </w:r>
      <w:r>
        <w:rPr>
          <w:rtl w:val="0"/>
        </w:rPr>
        <w:t xml:space="preserve"> Springer.</w:t>
      </w:r>
    </w:p>
    <w:p>
      <w:pPr>
        <w:pStyle w:val="Body A"/>
      </w:pPr>
      <w:r>
        <w:rPr>
          <w:rStyle w:val="None"/>
          <w:rtl w:val="0"/>
          <w:lang w:val="en-US"/>
        </w:rPr>
        <w:t>Ogg, T. &amp; Kaill, E. 2010. A New Secret Garden? Alternative Provision, Exclusion and Children</w:t>
      </w:r>
      <w:r>
        <w:rPr>
          <w:rStyle w:val="None"/>
          <w:rtl w:val="0"/>
          <w:lang w:val="en-US"/>
        </w:rPr>
        <w:t>’</w:t>
      </w:r>
      <w:r>
        <w:rPr>
          <w:rStyle w:val="None"/>
          <w:rtl w:val="0"/>
          <w:lang w:val="it-IT"/>
        </w:rPr>
        <w:t>s Rights. London: Civitas.</w:t>
      </w:r>
    </w:p>
    <w:p>
      <w:pPr>
        <w:pStyle w:val="Body A"/>
      </w:pPr>
      <w:r>
        <w:rPr>
          <w:rtl w:val="0"/>
        </w:rPr>
        <w:t xml:space="preserve">Sachs, J. 2001. Teacher Professional Identity: Competing Discourses, Competing Outcomes. </w:t>
      </w:r>
      <w:r>
        <w:rPr>
          <w:rStyle w:val="None"/>
          <w:i w:val="1"/>
          <w:iCs w:val="1"/>
          <w:rtl w:val="0"/>
          <w:lang w:val="en-US"/>
        </w:rPr>
        <w:t>Journal of Education Policy,</w:t>
      </w:r>
      <w:r>
        <w:rPr>
          <w:rtl w:val="0"/>
        </w:rPr>
        <w:t xml:space="preserve"> 16</w:t>
      </w:r>
      <w:r>
        <w:rPr>
          <w:rStyle w:val="None"/>
          <w:b w:val="1"/>
          <w:bCs w:val="1"/>
          <w:rtl w:val="0"/>
          <w:lang w:val="en-US"/>
        </w:rPr>
        <w:t>,</w:t>
      </w:r>
      <w:r>
        <w:rPr>
          <w:rtl w:val="0"/>
        </w:rPr>
        <w:t xml:space="preserve"> 149-161.</w:t>
      </w:r>
    </w:p>
    <w:p>
      <w:pPr>
        <w:pStyle w:val="Body A"/>
      </w:pPr>
      <w:r>
        <w:rPr>
          <w:rStyle w:val="None"/>
          <w:rtl w:val="0"/>
          <w:lang w:val="en-US"/>
        </w:rPr>
        <w:t xml:space="preserve">Schwarz, G. E. 1999. Teaching as Vocation: Enabling Ethical Practice. </w:t>
      </w:r>
      <w:r>
        <w:rPr>
          <w:rStyle w:val="None"/>
          <w:i w:val="1"/>
          <w:iCs w:val="1"/>
          <w:rtl w:val="0"/>
          <w:lang w:val="en-US"/>
        </w:rPr>
        <w:t>The Educational Forum,</w:t>
      </w:r>
      <w:r>
        <w:rPr>
          <w:rStyle w:val="None"/>
          <w:rtl w:val="0"/>
          <w:lang w:val="en-US"/>
        </w:rPr>
        <w:t xml:space="preserve"> 63</w:t>
      </w:r>
      <w:r>
        <w:rPr>
          <w:rStyle w:val="None"/>
          <w:b w:val="1"/>
          <w:bCs w:val="1"/>
          <w:rtl w:val="0"/>
          <w:lang w:val="en-US"/>
        </w:rPr>
        <w:t>,</w:t>
      </w:r>
      <w:r>
        <w:rPr>
          <w:rStyle w:val="None"/>
          <w:rtl w:val="0"/>
          <w:lang w:val="pt-PT"/>
        </w:rPr>
        <w:t xml:space="preserve"> 23-29.</w:t>
      </w:r>
    </w:p>
    <w:p>
      <w:pPr>
        <w:pStyle w:val="Body A"/>
      </w:pPr>
      <w:r>
        <w:rPr>
          <w:rStyle w:val="None"/>
          <w:rtl w:val="0"/>
          <w:lang w:val="it-IT"/>
        </w:rPr>
        <w:t>Uitto, M. &amp; Syrj</w:t>
      </w:r>
      <w:r>
        <w:rPr>
          <w:rStyle w:val="None"/>
          <w:rtl w:val="0"/>
          <w:lang w:val="en-US"/>
        </w:rPr>
        <w:t>ä</w:t>
      </w:r>
      <w:r>
        <w:rPr>
          <w:rStyle w:val="None"/>
          <w:rtl w:val="0"/>
          <w:lang w:val="en-US"/>
        </w:rPr>
        <w:t>l</w:t>
      </w:r>
      <w:r>
        <w:rPr>
          <w:rStyle w:val="None"/>
          <w:rtl w:val="0"/>
          <w:lang w:val="en-US"/>
        </w:rPr>
        <w:t>ä</w:t>
      </w:r>
      <w:r>
        <w:rPr>
          <w:rStyle w:val="None"/>
          <w:rtl w:val="0"/>
          <w:lang w:val="en-US"/>
        </w:rPr>
        <w:t>, L. 2008. Body, Caring and Power in Teacher</w:t>
      </w:r>
      <w:r>
        <w:rPr>
          <w:rStyle w:val="None"/>
          <w:rtl w:val="0"/>
          <w:lang w:val="en-US"/>
        </w:rPr>
        <w:t>–</w:t>
      </w:r>
      <w:r>
        <w:rPr>
          <w:rStyle w:val="None"/>
          <w:rtl w:val="0"/>
          <w:lang w:val="en-US"/>
        </w:rPr>
        <w:t xml:space="preserve">Pupil Relationships: Encounters in Former Pupils' Memories. </w:t>
      </w:r>
      <w:r>
        <w:rPr>
          <w:rStyle w:val="None"/>
          <w:i w:val="1"/>
          <w:iCs w:val="1"/>
          <w:rtl w:val="0"/>
          <w:lang w:val="en-US"/>
        </w:rPr>
        <w:t>Scandinavian Journal of Educational Research,</w:t>
      </w:r>
      <w:r>
        <w:rPr>
          <w:rStyle w:val="None"/>
          <w:rtl w:val="0"/>
          <w:lang w:val="en-US"/>
        </w:rPr>
        <w:t xml:space="preserve"> 52</w:t>
      </w:r>
      <w:r>
        <w:rPr>
          <w:rStyle w:val="None"/>
          <w:b w:val="1"/>
          <w:bCs w:val="1"/>
          <w:rtl w:val="0"/>
          <w:lang w:val="en-US"/>
        </w:rPr>
        <w:t>,</w:t>
      </w:r>
      <w:r>
        <w:rPr>
          <w:rStyle w:val="None"/>
          <w:rtl w:val="0"/>
          <w:lang w:val="en-US"/>
        </w:rPr>
        <w:t xml:space="preserve"> 355-371.</w:t>
      </w:r>
      <w:r>
        <w:rPr/>
        <w:fldChar w:fldCharType="end" w:fldLock="0"/>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assoonPrimary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tab/>
    </w:r>
    <w:r>
      <w:rPr/>
      <w:fldChar w:fldCharType="begin" w:fldLock="0"/>
    </w:r>
    <w:r>
      <w:instrText xml:space="preserve"> PAGE </w:instrText>
    </w:r>
    <w:r>
      <w:rPr/>
      <w:fldChar w:fldCharType="separate" w:fldLock="0"/>
    </w:r>
    <w:r>
      <w:t>11</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rPr>
          <w:rStyle w:val="None"/>
          <w:rFonts w:ascii="Times New Roman" w:cs="Times New Roman" w:hAnsi="Times New Roman" w:eastAsia="Times New Roman"/>
          <w:sz w:val="24"/>
          <w:szCs w:val="24"/>
        </w:rPr>
      </w:pPr>
      <w:r>
        <w:rPr>
          <w:rFonts w:ascii="Times New Roman" w:cs="Times New Roman" w:hAnsi="Times New Roman" w:eastAsia="Times New Roman"/>
          <w:sz w:val="24"/>
          <w:szCs w:val="24"/>
          <w:vertAlign w:val="superscript"/>
        </w:rPr>
        <w:footnoteRef/>
      </w:r>
      <w:r>
        <w:rPr>
          <w:rStyle w:val="Hyperlink.0"/>
        </w:rPr>
        <w:fldChar w:fldCharType="begin" w:fldLock="0"/>
      </w:r>
      <w:r>
        <w:rPr>
          <w:rStyle w:val="Hyperlink.0"/>
        </w:rPr>
        <w:instrText xml:space="preserve"> HYPERLINK "https://www.theguardian.com/education/2012/apr/04/corporal-punishment-student-behaviour-worse"</w:instrText>
      </w:r>
      <w:r>
        <w:rPr>
          <w:rStyle w:val="Hyperlink.0"/>
        </w:rPr>
        <w:fldChar w:fldCharType="separate" w:fldLock="0"/>
      </w:r>
      <w:r>
        <w:rPr>
          <w:rStyle w:val="Hyperlink.0"/>
          <w:rFonts w:cs="Arial Unicode MS" w:eastAsia="Arial Unicode MS"/>
          <w:rtl w:val="0"/>
          <w:lang w:val="en-US"/>
        </w:rPr>
        <w:t>https://www.theguardian.com/education/2012/apr/04/corporal-punishment-student-behaviour-worse</w:t>
      </w:r>
      <w:r>
        <w:rPr/>
        <w:fldChar w:fldCharType="end" w:fldLock="0"/>
      </w:r>
      <w:r>
        <w:rPr>
          <w:rStyle w:val="None"/>
          <w:rFonts w:ascii="Times New Roman" w:hAnsi="Times New Roman"/>
          <w:sz w:val="24"/>
          <w:szCs w:val="24"/>
          <w:rtl w:val="0"/>
          <w:lang w:val="en-US"/>
        </w:rPr>
        <w:t xml:space="preserve"> - teacher viewpoint </w:t>
      </w:r>
    </w:p>
    <w:p>
      <w:pPr>
        <w:pStyle w:val="Footnote"/>
      </w:pPr>
      <w:r>
        <w:rPr>
          <w:rStyle w:val="Hyperlink.0"/>
        </w:rPr>
        <w:fldChar w:fldCharType="begin" w:fldLock="0"/>
      </w:r>
      <w:r>
        <w:rPr>
          <w:rStyle w:val="Hyperlink.0"/>
        </w:rPr>
        <w:instrText xml:space="preserve"> HYPERLINK "http://www.independent.co.uk/news/education/education-news/parents-back-corporal-punishment-in-schools-2355544.html"</w:instrText>
      </w:r>
      <w:r>
        <w:rPr>
          <w:rStyle w:val="Hyperlink.0"/>
        </w:rPr>
        <w:fldChar w:fldCharType="separate" w:fldLock="0"/>
      </w:r>
      <w:r>
        <w:rPr>
          <w:rStyle w:val="Hyperlink.0"/>
          <w:rFonts w:cs="Arial Unicode MS" w:eastAsia="Arial Unicode MS"/>
          <w:rtl w:val="0"/>
          <w:lang w:val="en-US"/>
        </w:rPr>
        <w:t>http://www.independent.co.uk/news/education/education-news/parents-back-corporal-punishment-in-schools-2355544.html</w:t>
      </w:r>
      <w:r>
        <w:rPr/>
        <w:fldChar w:fldCharType="end" w:fldLock="0"/>
      </w:r>
      <w:r>
        <w:rPr>
          <w:rStyle w:val="None"/>
          <w:rFonts w:ascii="Times New Roman" w:hAnsi="Times New Roman"/>
          <w:sz w:val="24"/>
          <w:szCs w:val="24"/>
          <w:rtl w:val="0"/>
          <w:lang w:val="en-US"/>
        </w:rPr>
        <w:t xml:space="preserve"> - parental view point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